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0B7F" w14:textId="69B35923" w:rsidR="006B09FC" w:rsidRDefault="006B09FC" w:rsidP="00AC670D">
      <w:pPr>
        <w:pStyle w:val="Title"/>
        <w:jc w:val="center"/>
        <w:rPr>
          <w:sz w:val="40"/>
        </w:rPr>
      </w:pPr>
      <w:r>
        <w:rPr>
          <w:noProof/>
        </w:rPr>
        <w:drawing>
          <wp:anchor distT="0" distB="0" distL="114300" distR="114300" simplePos="0" relativeHeight="251659264" behindDoc="0" locked="0" layoutInCell="1" allowOverlap="1" wp14:anchorId="206F7B0B" wp14:editId="5474C2F9">
            <wp:simplePos x="0" y="0"/>
            <wp:positionH relativeFrom="margin">
              <wp:posOffset>25400</wp:posOffset>
            </wp:positionH>
            <wp:positionV relativeFrom="paragraph">
              <wp:posOffset>-165100</wp:posOffset>
            </wp:positionV>
            <wp:extent cx="2457450" cy="576302"/>
            <wp:effectExtent l="0" t="0" r="0" b="0"/>
            <wp:wrapNone/>
            <wp:docPr id="2" name="Picture 2" descr="C:\Users\hat4317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t43177\Desktop\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576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16D85" w14:textId="77777777" w:rsidR="006B09FC" w:rsidRDefault="006B09FC" w:rsidP="006B09FC">
      <w:pPr>
        <w:pStyle w:val="Title"/>
        <w:rPr>
          <w:sz w:val="40"/>
        </w:rPr>
      </w:pPr>
    </w:p>
    <w:p w14:paraId="6143FE18" w14:textId="171B22F2" w:rsidR="00AC670D" w:rsidRPr="006B09FC" w:rsidRDefault="006B09FC" w:rsidP="006B09FC">
      <w:pPr>
        <w:pStyle w:val="Title"/>
        <w:rPr>
          <w:sz w:val="36"/>
          <w:szCs w:val="36"/>
        </w:rPr>
      </w:pPr>
      <w:r>
        <w:rPr>
          <w:sz w:val="36"/>
          <w:szCs w:val="36"/>
        </w:rPr>
        <w:t xml:space="preserve">                                             </w:t>
      </w:r>
      <w:r w:rsidR="000B50D1" w:rsidRPr="006B09FC">
        <w:rPr>
          <w:sz w:val="36"/>
          <w:szCs w:val="36"/>
        </w:rPr>
        <w:t>FAST FACTS</w:t>
      </w:r>
    </w:p>
    <w:p w14:paraId="20387C8E" w14:textId="340A0AAC" w:rsidR="00D60B79" w:rsidRPr="006B09FC" w:rsidRDefault="00D072EB" w:rsidP="006B09FC">
      <w:pPr>
        <w:spacing w:before="113" w:line="252" w:lineRule="auto"/>
        <w:ind w:right="1437"/>
        <w:jc w:val="center"/>
        <w:rPr>
          <w:b/>
          <w:noProof/>
          <w:sz w:val="24"/>
          <w:szCs w:val="24"/>
        </w:rPr>
      </w:pPr>
      <w:r w:rsidRPr="006B09FC">
        <w:rPr>
          <w:noProof/>
          <w:sz w:val="24"/>
          <w:szCs w:val="24"/>
        </w:rPr>
        <w:t>NRG-GY035:</w:t>
      </w:r>
      <w:r w:rsidRPr="006B09FC">
        <w:rPr>
          <w:b/>
          <w:noProof/>
          <w:sz w:val="24"/>
          <w:szCs w:val="24"/>
        </w:rPr>
        <w:t xml:space="preserve"> </w:t>
      </w:r>
      <w:r w:rsidRPr="006B09FC">
        <w:rPr>
          <w:bCs/>
          <w:noProof/>
          <w:sz w:val="24"/>
          <w:szCs w:val="24"/>
        </w:rPr>
        <w:t>A RANDOMIZED PHASE III TRIAL OF CARBOPLATIN, PACLITAXEL,</w:t>
      </w:r>
      <w:r w:rsidR="006B09FC" w:rsidRPr="006B09FC">
        <w:rPr>
          <w:bCs/>
          <w:noProof/>
          <w:sz w:val="24"/>
          <w:szCs w:val="24"/>
        </w:rPr>
        <w:t xml:space="preserve"> </w:t>
      </w:r>
      <w:r w:rsidRPr="006B09FC">
        <w:rPr>
          <w:bCs/>
          <w:noProof/>
          <w:sz w:val="24"/>
          <w:szCs w:val="24"/>
        </w:rPr>
        <w:t xml:space="preserve">PEMBROLIZUMAB VERSUS CARBOPLATIN, PACLITAXEL, BEVACIZUMAB VERSUS CARBOPLATIN, PACLITAXEL, PEMBROLIZUMAB, BEVACIZUMAB IN THE TREATMENT OF pMMR, </w:t>
      </w:r>
      <w:r w:rsidRPr="006B09FC">
        <w:rPr>
          <w:bCs/>
          <w:i/>
          <w:iCs/>
          <w:noProof/>
          <w:sz w:val="24"/>
          <w:szCs w:val="24"/>
        </w:rPr>
        <w:t xml:space="preserve">TP53 </w:t>
      </w:r>
      <w:r w:rsidRPr="006B09FC">
        <w:rPr>
          <w:bCs/>
          <w:noProof/>
          <w:sz w:val="24"/>
          <w:szCs w:val="24"/>
        </w:rPr>
        <w:t>MUTATED ADVANCED OR RECURRENT ENDOMETRIAL CANCER</w:t>
      </w:r>
    </w:p>
    <w:p w14:paraId="2B0802B6" w14:textId="77777777" w:rsidR="001D73A3" w:rsidRDefault="001D73A3" w:rsidP="006B09FC">
      <w:pPr>
        <w:spacing w:before="113" w:line="252" w:lineRule="auto"/>
        <w:ind w:right="1437"/>
        <w:rPr>
          <w:b/>
          <w:noProof/>
          <w:sz w:val="20"/>
          <w:szCs w:val="20"/>
        </w:rPr>
      </w:pPr>
    </w:p>
    <w:p w14:paraId="571CC8F2" w14:textId="77777777" w:rsidR="001D73A3" w:rsidRPr="001D73A3" w:rsidRDefault="001D73A3" w:rsidP="00BF0447">
      <w:pPr>
        <w:spacing w:before="113" w:line="252" w:lineRule="auto"/>
        <w:ind w:right="1437"/>
        <w:jc w:val="both"/>
        <w:rPr>
          <w:b/>
          <w:bCs/>
        </w:rPr>
      </w:pPr>
      <w:bookmarkStart w:id="0" w:name="3._ELIGIBILITY_CRITERIA"/>
      <w:bookmarkStart w:id="1" w:name="_bookmark0"/>
      <w:bookmarkEnd w:id="0"/>
      <w:bookmarkEnd w:id="1"/>
      <w:r w:rsidRPr="001D73A3">
        <w:rPr>
          <w:b/>
          <w:bCs/>
        </w:rPr>
        <w:t>ELIGIBILITY CRITERIA</w:t>
      </w:r>
    </w:p>
    <w:p w14:paraId="0655C6F5" w14:textId="77777777" w:rsidR="001D73A3" w:rsidRPr="001D73A3" w:rsidRDefault="001D73A3" w:rsidP="006B09FC">
      <w:pPr>
        <w:spacing w:before="113" w:line="252" w:lineRule="auto"/>
        <w:ind w:left="803" w:right="1437"/>
        <w:jc w:val="both"/>
        <w:rPr>
          <w:b/>
          <w:bCs/>
        </w:rPr>
      </w:pPr>
      <w:bookmarkStart w:id="2" w:name="3.1_On_Study_Guidelines"/>
      <w:bookmarkStart w:id="3" w:name="_bookmark1"/>
      <w:bookmarkEnd w:id="2"/>
      <w:bookmarkEnd w:id="3"/>
      <w:r w:rsidRPr="001D73A3">
        <w:rPr>
          <w:b/>
          <w:bCs/>
        </w:rPr>
        <w:t>On Study Guidelines</w:t>
      </w:r>
    </w:p>
    <w:p w14:paraId="5691ECA9" w14:textId="6CBD1611" w:rsidR="001D73A3" w:rsidRPr="001D73A3" w:rsidRDefault="001D73A3" w:rsidP="00D072EB">
      <w:pPr>
        <w:spacing w:before="113" w:line="252" w:lineRule="auto"/>
        <w:ind w:left="803" w:right="1437"/>
        <w:jc w:val="both"/>
      </w:pPr>
      <w:r w:rsidRPr="001D73A3">
        <w:t>Physicians should consider the following when evaluating if the patient is appropriate for</w:t>
      </w:r>
      <w:r w:rsidR="00D072EB" w:rsidRPr="009123AB">
        <w:t xml:space="preserve"> </w:t>
      </w:r>
      <w:r w:rsidRPr="001D73A3">
        <w:t>this protocol. [HIV, HBV, and HCV testing do not need to be performed as part of the study; the below language provides guidelines for inclusivity of patients with known HIV, HBV, and/or HCV infection]:</w:t>
      </w:r>
    </w:p>
    <w:p w14:paraId="3730E39D" w14:textId="77777777" w:rsidR="001D73A3" w:rsidRPr="001D73A3" w:rsidRDefault="001D73A3" w:rsidP="006B09FC">
      <w:pPr>
        <w:numPr>
          <w:ilvl w:val="0"/>
          <w:numId w:val="32"/>
        </w:numPr>
        <w:spacing w:before="113" w:after="0" w:line="252" w:lineRule="auto"/>
        <w:ind w:right="1437"/>
        <w:jc w:val="both"/>
      </w:pPr>
      <w:r w:rsidRPr="001D73A3">
        <w:t>For patients with known HIV, HBV, and/or HCV infection:</w:t>
      </w:r>
    </w:p>
    <w:p w14:paraId="6998DE2A" w14:textId="77777777" w:rsidR="001D73A3" w:rsidRPr="001D73A3" w:rsidRDefault="001D73A3" w:rsidP="006B09FC">
      <w:pPr>
        <w:numPr>
          <w:ilvl w:val="1"/>
          <w:numId w:val="32"/>
        </w:numPr>
        <w:spacing w:before="113" w:after="0" w:line="252" w:lineRule="auto"/>
        <w:ind w:right="1437"/>
        <w:jc w:val="both"/>
      </w:pPr>
      <w:r w:rsidRPr="001D73A3">
        <w:t>HIV-infected patients on effective anti-retroviral therapy with undetectable viral load within 6 months are eligible for this trial.</w:t>
      </w:r>
    </w:p>
    <w:p w14:paraId="288FF32F" w14:textId="77777777" w:rsidR="001D73A3" w:rsidRPr="001D73A3" w:rsidRDefault="001D73A3" w:rsidP="006B09FC">
      <w:pPr>
        <w:numPr>
          <w:ilvl w:val="1"/>
          <w:numId w:val="32"/>
        </w:numPr>
        <w:spacing w:before="113" w:after="0" w:line="252" w:lineRule="auto"/>
        <w:ind w:right="1437"/>
        <w:jc w:val="both"/>
      </w:pPr>
      <w:r w:rsidRPr="001D73A3">
        <w:t>For patients with evidence of chronic hepatitis B virus (HBV) infection, the HBV viral load must be undetectable on suppressive therapy, if indicated.</w:t>
      </w:r>
    </w:p>
    <w:p w14:paraId="35712A91" w14:textId="77777777" w:rsidR="001D73A3" w:rsidRPr="001D73A3" w:rsidRDefault="001D73A3" w:rsidP="006B09FC">
      <w:pPr>
        <w:numPr>
          <w:ilvl w:val="1"/>
          <w:numId w:val="32"/>
        </w:numPr>
        <w:spacing w:before="113" w:after="0" w:line="252" w:lineRule="auto"/>
        <w:ind w:right="1437"/>
        <w:jc w:val="both"/>
      </w:pPr>
      <w:r w:rsidRPr="001D73A3">
        <w:t>Patients with a history of hepatitis C virus (HCV) infection must have been treated and cured. For patients with HCV infection who are currently on treatment, they are eligible if they have an undetectable HCV viral load.</w:t>
      </w:r>
    </w:p>
    <w:p w14:paraId="517AC402" w14:textId="77777777" w:rsidR="001D73A3" w:rsidRPr="001D73A3" w:rsidRDefault="001D73A3" w:rsidP="001D73A3">
      <w:pPr>
        <w:numPr>
          <w:ilvl w:val="0"/>
          <w:numId w:val="32"/>
        </w:numPr>
        <w:spacing w:before="113" w:line="252" w:lineRule="auto"/>
        <w:ind w:right="1437"/>
        <w:jc w:val="both"/>
      </w:pPr>
      <w:r w:rsidRPr="001D73A3">
        <w:t>Patients with a prior or concurrent malignancy whose natural history or treatment does not have the potential to interfere with the safety or efficacy assessment of the investigational regimen are eligible for this trial.</w:t>
      </w:r>
    </w:p>
    <w:p w14:paraId="6DBE5791" w14:textId="77777777" w:rsidR="001D73A3" w:rsidRPr="001D73A3" w:rsidRDefault="001D73A3" w:rsidP="006B09FC">
      <w:pPr>
        <w:spacing w:before="113" w:line="252" w:lineRule="auto"/>
        <w:ind w:right="1437" w:firstLine="720"/>
        <w:jc w:val="both"/>
        <w:rPr>
          <w:b/>
          <w:bCs/>
        </w:rPr>
      </w:pPr>
      <w:r w:rsidRPr="001D73A3">
        <w:rPr>
          <w:b/>
          <w:bCs/>
        </w:rPr>
        <w:t>In addition:</w:t>
      </w:r>
    </w:p>
    <w:p w14:paraId="3A324385" w14:textId="77777777" w:rsidR="001D73A3" w:rsidRPr="001D73A3" w:rsidRDefault="001D73A3" w:rsidP="006B09FC">
      <w:pPr>
        <w:spacing w:before="113" w:line="252" w:lineRule="auto"/>
        <w:ind w:left="720" w:right="1437"/>
        <w:jc w:val="both"/>
      </w:pPr>
      <w:r w:rsidRPr="001D73A3">
        <w:t>Administration of study drugs (pembrolizumab, bevacizumab, paclitaxel, carboplatin) may have an adverse effect on pregnancy and poses a risk to the human fetus, including embryo lethality. Although the uterus will have been removed in the vast majority of patients eligible for this study, for women of childbearing potential (WOCBP) with an intact uterus, a negative pregnancy test is needed. WOCBP must agree to use adequate contraception (hormonal or barrier method of birth control; abstinence) from at least 14 days prior to registration (for oral contraceptives), during treatment, and for 6 months after the last dose of study medication. Should a woman become pregnant or suspect she is pregnant while she is participating in this study, she should inform her treating physician immediately.</w:t>
      </w:r>
    </w:p>
    <w:p w14:paraId="7F82B321" w14:textId="77777777" w:rsidR="009123AB" w:rsidRDefault="009123AB" w:rsidP="00EC7A69">
      <w:pPr>
        <w:spacing w:before="113" w:line="252" w:lineRule="auto"/>
        <w:ind w:right="1437"/>
        <w:jc w:val="both"/>
      </w:pPr>
      <w:bookmarkStart w:id="4" w:name="3.2_Eligibility_Criteria"/>
      <w:bookmarkStart w:id="5" w:name="_bookmark2"/>
      <w:bookmarkEnd w:id="4"/>
      <w:bookmarkEnd w:id="5"/>
    </w:p>
    <w:p w14:paraId="785858F6" w14:textId="5A1F5813" w:rsidR="001D73A3" w:rsidRPr="001D73A3" w:rsidRDefault="001D73A3" w:rsidP="00BF0447">
      <w:pPr>
        <w:spacing w:before="113" w:line="252" w:lineRule="auto"/>
        <w:ind w:right="1437"/>
        <w:jc w:val="both"/>
        <w:rPr>
          <w:b/>
          <w:bCs/>
        </w:rPr>
      </w:pPr>
      <w:r w:rsidRPr="001D73A3">
        <w:rPr>
          <w:b/>
          <w:bCs/>
        </w:rPr>
        <w:lastRenderedPageBreak/>
        <w:t>Eligibility Criteria</w:t>
      </w:r>
    </w:p>
    <w:p w14:paraId="7059DB30" w14:textId="77777777" w:rsidR="001D73A3" w:rsidRPr="001D73A3" w:rsidRDefault="001D73A3" w:rsidP="001D73A3">
      <w:pPr>
        <w:numPr>
          <w:ilvl w:val="2"/>
          <w:numId w:val="31"/>
        </w:numPr>
        <w:spacing w:before="113" w:line="252" w:lineRule="auto"/>
        <w:ind w:right="1437"/>
        <w:jc w:val="both"/>
        <w:rPr>
          <w:b/>
          <w:bCs/>
        </w:rPr>
      </w:pPr>
      <w:r w:rsidRPr="001D73A3">
        <w:rPr>
          <w:b/>
          <w:bCs/>
        </w:rPr>
        <w:t>Documentation of Disease</w:t>
      </w:r>
    </w:p>
    <w:p w14:paraId="423AAA29" w14:textId="77777777" w:rsidR="001D73A3" w:rsidRPr="001D73A3" w:rsidRDefault="001D73A3" w:rsidP="006B09FC">
      <w:pPr>
        <w:numPr>
          <w:ilvl w:val="3"/>
          <w:numId w:val="31"/>
        </w:numPr>
        <w:spacing w:before="113" w:after="0" w:line="252" w:lineRule="auto"/>
        <w:ind w:right="1437"/>
        <w:jc w:val="both"/>
      </w:pPr>
      <w:r w:rsidRPr="001D73A3">
        <w:t>Stage III and Stage IVA endometrial cancers (with measurable disease),</w:t>
      </w:r>
    </w:p>
    <w:p w14:paraId="5F9ECC1F" w14:textId="77777777" w:rsidR="001D73A3" w:rsidRPr="001D73A3" w:rsidRDefault="001D73A3" w:rsidP="006B09FC">
      <w:pPr>
        <w:numPr>
          <w:ilvl w:val="3"/>
          <w:numId w:val="31"/>
        </w:numPr>
        <w:spacing w:before="113" w:after="0" w:line="252" w:lineRule="auto"/>
        <w:ind w:right="1437"/>
        <w:jc w:val="both"/>
      </w:pPr>
      <w:r w:rsidRPr="001D73A3">
        <w:t>Stage IVB endometrial cancer (with or without measurable disease), or</w:t>
      </w:r>
    </w:p>
    <w:p w14:paraId="6A09AA4F" w14:textId="77777777" w:rsidR="001D73A3" w:rsidRPr="009123AB" w:rsidRDefault="001D73A3" w:rsidP="006B09FC">
      <w:pPr>
        <w:numPr>
          <w:ilvl w:val="3"/>
          <w:numId w:val="31"/>
        </w:numPr>
        <w:spacing w:before="113" w:after="0" w:line="252" w:lineRule="auto"/>
        <w:ind w:right="1437"/>
        <w:jc w:val="both"/>
      </w:pPr>
      <w:r w:rsidRPr="001D73A3">
        <w:t xml:space="preserve">Recurrent endometrial cancer (with or without measurable disease) See </w:t>
      </w:r>
      <w:r w:rsidRPr="001D73A3">
        <w:rPr>
          <w:u w:val="single"/>
        </w:rPr>
        <w:t>Appendix I</w:t>
      </w:r>
      <w:r w:rsidRPr="001D73A3">
        <w:t xml:space="preserve"> for FIGO 2009 Staging</w:t>
      </w:r>
    </w:p>
    <w:p w14:paraId="3E1F6B2D" w14:textId="77777777" w:rsidR="006B09FC" w:rsidRPr="001D73A3" w:rsidRDefault="006B09FC" w:rsidP="006B09FC">
      <w:pPr>
        <w:spacing w:before="113" w:after="0" w:line="252" w:lineRule="auto"/>
        <w:ind w:left="1540" w:right="1437"/>
        <w:jc w:val="both"/>
      </w:pPr>
    </w:p>
    <w:p w14:paraId="0FD78BDE" w14:textId="77777777" w:rsidR="001D73A3" w:rsidRPr="001D73A3" w:rsidRDefault="001D73A3" w:rsidP="001D73A3">
      <w:pPr>
        <w:numPr>
          <w:ilvl w:val="3"/>
          <w:numId w:val="31"/>
        </w:numPr>
        <w:spacing w:before="113" w:line="252" w:lineRule="auto"/>
        <w:ind w:right="1437"/>
        <w:jc w:val="both"/>
        <w:sectPr w:rsidR="001D73A3" w:rsidRPr="001D73A3" w:rsidSect="006B09F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noEndnote/>
        </w:sectPr>
      </w:pPr>
    </w:p>
    <w:p w14:paraId="157B2C46" w14:textId="2D0480DD" w:rsidR="001D73A3" w:rsidRPr="001D73A3" w:rsidRDefault="001D73A3" w:rsidP="009123AB">
      <w:pPr>
        <w:spacing w:before="113" w:line="252" w:lineRule="auto"/>
        <w:ind w:left="720" w:right="1437"/>
        <w:jc w:val="both"/>
      </w:pPr>
      <w:r w:rsidRPr="001D73A3">
        <w:t>In patients with measurable disease, lesions will be defined and monitored by RECIST 1.1. Measurable disease (RECIST 1.1) is defined as at least one lesion that can be accurately measured in at least one dimension (longest diameter to be recorded). Each lesion must be ≥ 10 mm when measured by CT or MRI. Lymph nodes must be ≥ 15 mm in short axis when measured by CT or MRI.</w:t>
      </w:r>
    </w:p>
    <w:p w14:paraId="04EAB216" w14:textId="20D06D56" w:rsidR="001D73A3" w:rsidRPr="001D73A3" w:rsidRDefault="001D73A3" w:rsidP="009123AB">
      <w:pPr>
        <w:spacing w:before="113" w:line="252" w:lineRule="auto"/>
        <w:ind w:left="720" w:right="1437"/>
        <w:jc w:val="both"/>
      </w:pPr>
      <w:r w:rsidRPr="001D73A3">
        <w:t>Histologic confirmation of the original primary tumor is required (submission of pathology report(s) is required). Patients with the following histologic types are eligible: endometrioid, serous, dedifferentiated/undifferentiated, clear cell, mixed epithelial, carcinosarcoma, adenocarcinoma not otherwise specified (N.O.S.)</w:t>
      </w:r>
    </w:p>
    <w:p w14:paraId="3ABEAD24" w14:textId="77777777" w:rsidR="001D73A3" w:rsidRPr="001D73A3" w:rsidRDefault="001D73A3" w:rsidP="009123AB">
      <w:pPr>
        <w:spacing w:before="113" w:line="252" w:lineRule="auto"/>
        <w:ind w:right="1437" w:firstLine="720"/>
        <w:jc w:val="both"/>
      </w:pPr>
      <w:r w:rsidRPr="001D73A3">
        <w:t>Patients must have:</w:t>
      </w:r>
    </w:p>
    <w:p w14:paraId="1CA778BD" w14:textId="544C084A" w:rsidR="001D73A3" w:rsidRPr="001D73A3" w:rsidRDefault="001D73A3" w:rsidP="006B09FC">
      <w:pPr>
        <w:numPr>
          <w:ilvl w:val="0"/>
          <w:numId w:val="30"/>
        </w:numPr>
        <w:spacing w:before="113" w:after="0" w:line="252" w:lineRule="auto"/>
        <w:ind w:right="1437"/>
        <w:jc w:val="both"/>
      </w:pPr>
      <w:r w:rsidRPr="001D73A3">
        <w:t>Tumoral mismatch repair proficient (pMMR) disease as assessed by immunohistochemistry (IHC)</w:t>
      </w:r>
    </w:p>
    <w:p w14:paraId="5FCFA4E1" w14:textId="77777777" w:rsidR="001D73A3" w:rsidRPr="001D73A3" w:rsidRDefault="001D73A3" w:rsidP="006B09FC">
      <w:pPr>
        <w:spacing w:before="113" w:after="0" w:line="252" w:lineRule="auto"/>
        <w:ind w:left="460" w:right="1437" w:firstLine="720"/>
        <w:jc w:val="both"/>
      </w:pPr>
      <w:r w:rsidRPr="001D73A3">
        <w:t>AND</w:t>
      </w:r>
    </w:p>
    <w:p w14:paraId="3BF52ABF" w14:textId="77777777" w:rsidR="001D73A3" w:rsidRPr="001D73A3" w:rsidRDefault="001D73A3" w:rsidP="006B09FC">
      <w:pPr>
        <w:numPr>
          <w:ilvl w:val="0"/>
          <w:numId w:val="29"/>
        </w:numPr>
        <w:spacing w:before="113" w:after="0" w:line="252" w:lineRule="auto"/>
        <w:ind w:right="1437"/>
        <w:jc w:val="both"/>
      </w:pPr>
      <w:r w:rsidRPr="001D73A3">
        <w:t xml:space="preserve">P53 IHC with aberrant staining pattern (aberrant p53 expression is consistent with mutant </w:t>
      </w:r>
      <w:r w:rsidRPr="001D73A3">
        <w:rPr>
          <w:i/>
          <w:iCs/>
        </w:rPr>
        <w:t>TP53</w:t>
      </w:r>
      <w:r w:rsidRPr="001D73A3">
        <w:t xml:space="preserve">). </w:t>
      </w:r>
      <w:r w:rsidRPr="001D73A3">
        <w:rPr>
          <w:i/>
          <w:iCs/>
        </w:rPr>
        <w:t xml:space="preserve">TP53 </w:t>
      </w:r>
      <w:r w:rsidRPr="001D73A3">
        <w:t>mutation by next-generation sequencing will also be accepted.</w:t>
      </w:r>
    </w:p>
    <w:p w14:paraId="53E0357B" w14:textId="5F8235BB" w:rsidR="001D73A3" w:rsidRPr="001D73A3" w:rsidRDefault="001D73A3" w:rsidP="00BF0447">
      <w:pPr>
        <w:spacing w:before="113" w:line="252" w:lineRule="auto"/>
        <w:ind w:left="720" w:right="1437"/>
        <w:jc w:val="both"/>
      </w:pPr>
      <w:r w:rsidRPr="001D73A3">
        <w:t>A pathology report demonstrating results of institutional MMR IHC and p53 IHC and/or</w:t>
      </w:r>
      <w:r w:rsidR="00BF0447">
        <w:t xml:space="preserve"> </w:t>
      </w:r>
      <w:r w:rsidRPr="001D73A3">
        <w:rPr>
          <w:i/>
          <w:iCs/>
        </w:rPr>
        <w:t xml:space="preserve">TP53 </w:t>
      </w:r>
      <w:r w:rsidRPr="001D73A3">
        <w:t>by next-generation sequencing.</w:t>
      </w:r>
    </w:p>
    <w:p w14:paraId="09107791" w14:textId="0FC01A31" w:rsidR="001D73A3" w:rsidRPr="001D73A3" w:rsidRDefault="001D73A3" w:rsidP="001D73A3">
      <w:pPr>
        <w:numPr>
          <w:ilvl w:val="2"/>
          <w:numId w:val="28"/>
        </w:numPr>
        <w:spacing w:before="113" w:line="252" w:lineRule="auto"/>
        <w:ind w:right="1437"/>
        <w:jc w:val="both"/>
        <w:rPr>
          <w:b/>
          <w:bCs/>
        </w:rPr>
      </w:pPr>
      <w:r w:rsidRPr="001D73A3">
        <w:rPr>
          <w:b/>
          <w:bCs/>
        </w:rPr>
        <w:t>Prior Treatment</w:t>
      </w:r>
    </w:p>
    <w:p w14:paraId="57C7BE5B" w14:textId="77777777" w:rsidR="001D73A3" w:rsidRPr="001D73A3" w:rsidRDefault="001D73A3" w:rsidP="006B09FC">
      <w:pPr>
        <w:spacing w:before="113" w:line="252" w:lineRule="auto"/>
        <w:ind w:left="100" w:right="1437" w:firstLine="720"/>
        <w:jc w:val="both"/>
      </w:pPr>
      <w:r w:rsidRPr="001D73A3">
        <w:t>Patients may have received:</w:t>
      </w:r>
    </w:p>
    <w:p w14:paraId="24DE8A3E" w14:textId="77777777" w:rsidR="001D73A3" w:rsidRPr="009123AB" w:rsidRDefault="001D73A3" w:rsidP="006B09FC">
      <w:pPr>
        <w:pStyle w:val="ListParagraph"/>
        <w:numPr>
          <w:ilvl w:val="0"/>
          <w:numId w:val="34"/>
        </w:numPr>
        <w:spacing w:before="113" w:line="252" w:lineRule="auto"/>
        <w:ind w:right="1437"/>
        <w:jc w:val="both"/>
      </w:pPr>
      <w:r w:rsidRPr="009123AB">
        <w:t>NO prior chemotherapy for treatment of endometrial cancer OR</w:t>
      </w:r>
    </w:p>
    <w:p w14:paraId="6DBBAABE" w14:textId="242962E5" w:rsidR="001D73A3" w:rsidRPr="009123AB" w:rsidRDefault="001D73A3" w:rsidP="001D73A3">
      <w:pPr>
        <w:pStyle w:val="ListParagraph"/>
        <w:numPr>
          <w:ilvl w:val="0"/>
          <w:numId w:val="34"/>
        </w:numPr>
        <w:spacing w:before="113" w:line="252" w:lineRule="auto"/>
        <w:ind w:right="1437"/>
        <w:jc w:val="both"/>
      </w:pPr>
      <w:r w:rsidRPr="009123AB">
        <w:t>Prior adjuvant chemotherapy (e.g., paclitaxel/carboplatin alone or as a component of concurrent chemotherapy and radiation therapy [with or without cisplatin]) provided adjuvant chemotherapy was completed ≥ 12 months prior to registration.</w:t>
      </w:r>
    </w:p>
    <w:p w14:paraId="7CFB6881" w14:textId="243C6290" w:rsidR="001D73A3" w:rsidRPr="001D73A3" w:rsidRDefault="001D73A3" w:rsidP="009123AB">
      <w:pPr>
        <w:spacing w:before="113" w:line="252" w:lineRule="auto"/>
        <w:ind w:left="720" w:right="1437"/>
        <w:jc w:val="both"/>
      </w:pPr>
      <w:r w:rsidRPr="001D73A3">
        <w:t>Patients may have received prior radiation therapy for treatment of endometrial cancer. Prior radiation therapy may have included pelvic radiation therapy, extended field pelvic/para-aortic radiation therapy, intravaginal brachytherapy, and/or palliative radiation therapy. All radiation therapy must be completed at least 4 weeks prior to registration. For patients with recent radiation, they must have RECIST-evaluable disease</w:t>
      </w:r>
      <w:r w:rsidR="00D072EB" w:rsidRPr="009123AB">
        <w:t xml:space="preserve"> </w:t>
      </w:r>
      <w:r w:rsidRPr="001D73A3">
        <w:t>outside of the radiation field and have recovered their marrow function.</w:t>
      </w:r>
    </w:p>
    <w:p w14:paraId="162EB738" w14:textId="3B9DF8A5" w:rsidR="001D73A3" w:rsidRPr="001D73A3" w:rsidRDefault="001D73A3" w:rsidP="009123AB">
      <w:pPr>
        <w:spacing w:before="113" w:line="252" w:lineRule="auto"/>
        <w:ind w:left="720" w:right="1437"/>
        <w:jc w:val="both"/>
      </w:pPr>
      <w:r w:rsidRPr="001D73A3">
        <w:lastRenderedPageBreak/>
        <w:t>Patients may have received prior hormonal (endocrine) therapy. All hormonal (endocrine) therapy must have been completed at least 1 week prior to registration.</w:t>
      </w:r>
    </w:p>
    <w:p w14:paraId="08160547" w14:textId="3658A39D" w:rsidR="001D73A3" w:rsidRPr="001D73A3" w:rsidRDefault="001D73A3" w:rsidP="009123AB">
      <w:pPr>
        <w:spacing w:before="113" w:line="252" w:lineRule="auto"/>
        <w:ind w:left="720" w:right="1437"/>
        <w:jc w:val="both"/>
      </w:pPr>
      <w:r w:rsidRPr="001D73A3">
        <w:t>NO prior pembrolizumab (or other anti-PD1, anti-PDL1 or anti-CTLA4 therapy) or bevacizumab (or other antiangiogenic therapy).</w:t>
      </w:r>
    </w:p>
    <w:p w14:paraId="4FD53049" w14:textId="77777777" w:rsidR="001D73A3" w:rsidRPr="001D73A3" w:rsidRDefault="001D73A3" w:rsidP="009123AB">
      <w:pPr>
        <w:spacing w:before="113" w:line="252" w:lineRule="auto"/>
        <w:ind w:left="720" w:right="1437"/>
        <w:jc w:val="both"/>
      </w:pPr>
      <w:r w:rsidRPr="001D73A3">
        <w:t>Interval or cytoreductive surgery, after start of treatment on this trial, and prior to documentation of disease progression, is NOT permitted.</w:t>
      </w:r>
    </w:p>
    <w:p w14:paraId="3A9172A5" w14:textId="77777777" w:rsidR="001D73A3" w:rsidRPr="001D73A3" w:rsidRDefault="001D73A3" w:rsidP="009123AB">
      <w:pPr>
        <w:spacing w:before="113" w:line="252" w:lineRule="auto"/>
        <w:ind w:left="720" w:right="1437"/>
        <w:jc w:val="both"/>
        <w:sectPr w:rsidR="001D73A3" w:rsidRPr="001D73A3" w:rsidSect="006B09FC">
          <w:type w:val="continuous"/>
          <w:pgSz w:w="12240" w:h="15840"/>
          <w:pgMar w:top="720" w:right="720" w:bottom="720" w:left="720" w:header="720" w:footer="720" w:gutter="0"/>
          <w:cols w:space="720"/>
          <w:noEndnote/>
        </w:sectPr>
      </w:pPr>
    </w:p>
    <w:p w14:paraId="75E8DFDF" w14:textId="0189976E" w:rsidR="001D73A3" w:rsidRPr="001D73A3" w:rsidRDefault="001D73A3" w:rsidP="009123AB">
      <w:pPr>
        <w:spacing w:before="113" w:line="252" w:lineRule="auto"/>
        <w:ind w:left="720" w:right="1437"/>
        <w:jc w:val="both"/>
      </w:pPr>
      <w:r w:rsidRPr="001D73A3">
        <w:t>Patients with treated brain metastases are eligible if follow-up brain imaging after CNS- directed therapy shows no evidence of disease progression. Patients with brain metastases must have follow up imaging demonstrating no evidence of disease progression and that the disease is stable off of steroids.</w:t>
      </w:r>
    </w:p>
    <w:p w14:paraId="3CE9ECC9" w14:textId="7F63EF4A" w:rsidR="001D73A3" w:rsidRPr="001D73A3" w:rsidRDefault="001D73A3" w:rsidP="001D73A3">
      <w:pPr>
        <w:numPr>
          <w:ilvl w:val="2"/>
          <w:numId w:val="27"/>
        </w:numPr>
        <w:spacing w:before="113" w:line="252" w:lineRule="auto"/>
        <w:ind w:right="1437"/>
        <w:jc w:val="both"/>
        <w:rPr>
          <w:b/>
          <w:bCs/>
        </w:rPr>
      </w:pPr>
      <w:r w:rsidRPr="001D73A3">
        <w:rPr>
          <w:b/>
          <w:bCs/>
        </w:rPr>
        <w:t>Age ≥ 18</w:t>
      </w:r>
    </w:p>
    <w:p w14:paraId="752DA5F2" w14:textId="77777777" w:rsidR="001D73A3" w:rsidRPr="001D73A3" w:rsidRDefault="001D73A3" w:rsidP="001D73A3">
      <w:pPr>
        <w:numPr>
          <w:ilvl w:val="2"/>
          <w:numId w:val="27"/>
        </w:numPr>
        <w:spacing w:before="113" w:line="252" w:lineRule="auto"/>
        <w:ind w:right="1437"/>
        <w:jc w:val="both"/>
        <w:rPr>
          <w:b/>
          <w:bCs/>
        </w:rPr>
      </w:pPr>
      <w:r w:rsidRPr="001D73A3">
        <w:rPr>
          <w:b/>
          <w:bCs/>
        </w:rPr>
        <w:t>ECOG Performance Status of ≤ 2</w:t>
      </w:r>
    </w:p>
    <w:p w14:paraId="1C1821D1" w14:textId="60E2A85A" w:rsidR="001D73A3" w:rsidRPr="001D73A3" w:rsidRDefault="00BF0447" w:rsidP="009123AB">
      <w:pPr>
        <w:spacing w:before="113" w:line="252" w:lineRule="auto"/>
        <w:ind w:right="1437" w:firstLine="720"/>
        <w:jc w:val="both"/>
      </w:pPr>
      <w:r>
        <w:t xml:space="preserve">  </w:t>
      </w:r>
      <w:r w:rsidR="001D73A3" w:rsidRPr="001D73A3">
        <w:t xml:space="preserve">See </w:t>
      </w:r>
      <w:r w:rsidR="001D73A3" w:rsidRPr="001D73A3">
        <w:rPr>
          <w:u w:val="single"/>
        </w:rPr>
        <w:t>Appendix II</w:t>
      </w:r>
      <w:r w:rsidR="001D73A3" w:rsidRPr="001D73A3">
        <w:t xml:space="preserve"> for performance status criteria</w:t>
      </w:r>
    </w:p>
    <w:p w14:paraId="01F5F1C8" w14:textId="00BDFB2B" w:rsidR="001D73A3" w:rsidRPr="001D73A3" w:rsidRDefault="001D73A3" w:rsidP="001D73A3">
      <w:pPr>
        <w:numPr>
          <w:ilvl w:val="2"/>
          <w:numId w:val="26"/>
        </w:numPr>
        <w:spacing w:before="113" w:line="252" w:lineRule="auto"/>
        <w:ind w:right="1437"/>
        <w:jc w:val="both"/>
        <w:rPr>
          <w:b/>
          <w:bCs/>
        </w:rPr>
      </w:pPr>
      <w:r w:rsidRPr="001D73A3">
        <w:rPr>
          <w:b/>
          <w:bCs/>
        </w:rPr>
        <w:t>Not Pregnant and Not Nursing</w:t>
      </w:r>
    </w:p>
    <w:p w14:paraId="3C974E37" w14:textId="2FB176F2" w:rsidR="001D73A3" w:rsidRPr="001D73A3" w:rsidRDefault="001D73A3" w:rsidP="001D73A3">
      <w:pPr>
        <w:numPr>
          <w:ilvl w:val="2"/>
          <w:numId w:val="26"/>
        </w:numPr>
        <w:spacing w:before="113" w:line="252" w:lineRule="auto"/>
        <w:ind w:right="1437"/>
        <w:jc w:val="both"/>
        <w:rPr>
          <w:b/>
          <w:bCs/>
        </w:rPr>
      </w:pPr>
      <w:r w:rsidRPr="001D73A3">
        <w:rPr>
          <w:b/>
          <w:bCs/>
        </w:rPr>
        <w:t>Required Initial Laboratory Values</w:t>
      </w:r>
    </w:p>
    <w:p w14:paraId="13A05F5D" w14:textId="72616E44" w:rsidR="001D73A3" w:rsidRPr="001D73A3" w:rsidRDefault="00BF0447" w:rsidP="009123AB">
      <w:pPr>
        <w:spacing w:before="113" w:after="0" w:line="252" w:lineRule="auto"/>
        <w:ind w:right="1437" w:firstLine="720"/>
        <w:jc w:val="both"/>
      </w:pPr>
      <w:r>
        <w:t xml:space="preserve">  </w:t>
      </w:r>
      <w:r w:rsidR="001D73A3" w:rsidRPr="001D73A3">
        <w:t>Adequate hematologic function defined as follows:</w:t>
      </w:r>
    </w:p>
    <w:p w14:paraId="647612C0" w14:textId="77777777" w:rsidR="009123AB" w:rsidRPr="009123AB" w:rsidRDefault="009123AB" w:rsidP="009123AB">
      <w:pPr>
        <w:pStyle w:val="ListParagraph"/>
        <w:numPr>
          <w:ilvl w:val="0"/>
          <w:numId w:val="37"/>
        </w:numPr>
        <w:spacing w:before="113" w:after="0" w:line="252" w:lineRule="auto"/>
        <w:ind w:right="1437"/>
        <w:jc w:val="both"/>
      </w:pPr>
      <w:r w:rsidRPr="009123AB">
        <w:t>Absolute neutrophil count (ANC) ≥ 1,500 cells/mm</w:t>
      </w:r>
      <w:r w:rsidRPr="009123AB">
        <w:rPr>
          <w:vertAlign w:val="superscript"/>
        </w:rPr>
        <w:t>3</w:t>
      </w:r>
    </w:p>
    <w:p w14:paraId="3F44F8F9" w14:textId="36E403E4" w:rsidR="009123AB" w:rsidRPr="009123AB" w:rsidRDefault="009123AB" w:rsidP="009123AB">
      <w:pPr>
        <w:pStyle w:val="ListParagraph"/>
        <w:numPr>
          <w:ilvl w:val="0"/>
          <w:numId w:val="37"/>
        </w:numPr>
        <w:spacing w:before="113" w:line="252" w:lineRule="auto"/>
        <w:ind w:right="1437"/>
        <w:jc w:val="both"/>
      </w:pPr>
      <w:r w:rsidRPr="009123AB">
        <w:t>Platelets ≥ 100,000 cells/mm</w:t>
      </w:r>
      <w:r w:rsidRPr="009123AB">
        <w:rPr>
          <w:vertAlign w:val="superscript"/>
        </w:rPr>
        <w:t>3</w:t>
      </w:r>
    </w:p>
    <w:p w14:paraId="21D74C26" w14:textId="77777777" w:rsidR="009123AB" w:rsidRDefault="009123AB" w:rsidP="009123AB">
      <w:pPr>
        <w:pStyle w:val="ListParagraph"/>
        <w:numPr>
          <w:ilvl w:val="0"/>
          <w:numId w:val="37"/>
        </w:numPr>
        <w:spacing w:before="113" w:after="0" w:line="252" w:lineRule="auto"/>
        <w:ind w:right="1437"/>
        <w:jc w:val="both"/>
      </w:pPr>
      <w:r w:rsidRPr="009123AB">
        <w:t>Hemoglobin ≥ 8 g/dl</w:t>
      </w:r>
    </w:p>
    <w:p w14:paraId="38749C4E" w14:textId="77777777" w:rsidR="009123AB" w:rsidRPr="009123AB" w:rsidRDefault="009123AB" w:rsidP="009123AB">
      <w:pPr>
        <w:pStyle w:val="ListParagraph"/>
        <w:spacing w:before="113" w:after="0" w:line="252" w:lineRule="auto"/>
        <w:ind w:left="1440" w:right="1437"/>
        <w:jc w:val="both"/>
      </w:pPr>
    </w:p>
    <w:p w14:paraId="067B16EE" w14:textId="320CC87B" w:rsidR="001D73A3" w:rsidRPr="001D73A3" w:rsidRDefault="00BF0447" w:rsidP="009123AB">
      <w:pPr>
        <w:spacing w:before="113" w:line="252" w:lineRule="auto"/>
        <w:ind w:right="1437" w:firstLine="720"/>
        <w:jc w:val="both"/>
      </w:pPr>
      <w:r>
        <w:t xml:space="preserve">  </w:t>
      </w:r>
      <w:r w:rsidR="001D73A3" w:rsidRPr="001D73A3">
        <w:t>Adequate renal function defined as follows:</w:t>
      </w:r>
    </w:p>
    <w:p w14:paraId="3B2B67A0" w14:textId="77777777" w:rsidR="001D73A3" w:rsidRPr="001D73A3" w:rsidRDefault="001D73A3" w:rsidP="001D73A3">
      <w:pPr>
        <w:numPr>
          <w:ilvl w:val="3"/>
          <w:numId w:val="26"/>
        </w:numPr>
        <w:spacing w:before="113" w:line="252" w:lineRule="auto"/>
        <w:ind w:right="1437"/>
        <w:jc w:val="both"/>
      </w:pPr>
      <w:r w:rsidRPr="001D73A3">
        <w:t>Creatinine clearance (CrCl) of ≥30 mL/min by the Cockcroft-Gault formula</w:t>
      </w:r>
    </w:p>
    <w:p w14:paraId="537B0D3B" w14:textId="3A2479C0" w:rsidR="001D73A3" w:rsidRPr="001D73A3" w:rsidRDefault="009123AB" w:rsidP="001D73A3">
      <w:pPr>
        <w:spacing w:before="113" w:line="252" w:lineRule="auto"/>
        <w:ind w:right="1437"/>
        <w:jc w:val="both"/>
      </w:pPr>
      <w:r w:rsidRPr="009123AB">
        <w:t xml:space="preserve">                                        </w:t>
      </w:r>
      <w:r w:rsidRPr="009123AB">
        <w:rPr>
          <w:noProof/>
        </w:rPr>
        <w:drawing>
          <wp:inline distT="0" distB="0" distL="0" distR="0" wp14:anchorId="245F9650" wp14:editId="0216538F">
            <wp:extent cx="4324572" cy="482625"/>
            <wp:effectExtent l="0" t="0" r="0" b="0"/>
            <wp:docPr id="26680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07922" name=""/>
                    <pic:cNvPicPr/>
                  </pic:nvPicPr>
                  <pic:blipFill>
                    <a:blip r:embed="rId18"/>
                    <a:stretch>
                      <a:fillRect/>
                    </a:stretch>
                  </pic:blipFill>
                  <pic:spPr>
                    <a:xfrm>
                      <a:off x="0" y="0"/>
                      <a:ext cx="4324572" cy="482625"/>
                    </a:xfrm>
                    <a:prstGeom prst="rect">
                      <a:avLst/>
                    </a:prstGeom>
                  </pic:spPr>
                </pic:pic>
              </a:graphicData>
            </a:graphic>
          </wp:inline>
        </w:drawing>
      </w:r>
    </w:p>
    <w:p w14:paraId="32B77A89" w14:textId="7CE0DBB3" w:rsidR="001D73A3" w:rsidRPr="001D73A3" w:rsidRDefault="00BF0447" w:rsidP="009123AB">
      <w:pPr>
        <w:spacing w:before="113" w:line="252" w:lineRule="auto"/>
        <w:ind w:right="1437" w:firstLine="720"/>
        <w:jc w:val="both"/>
      </w:pPr>
      <w:r>
        <w:t xml:space="preserve">  </w:t>
      </w:r>
      <w:r w:rsidR="001D73A3" w:rsidRPr="001D73A3">
        <w:t>Adequate hepatic function defined as follows:</w:t>
      </w:r>
    </w:p>
    <w:p w14:paraId="43E4AC0A" w14:textId="77777777" w:rsidR="001D73A3" w:rsidRPr="001D73A3" w:rsidRDefault="001D73A3" w:rsidP="009123AB">
      <w:pPr>
        <w:numPr>
          <w:ilvl w:val="0"/>
          <w:numId w:val="25"/>
        </w:numPr>
        <w:spacing w:before="113" w:after="0" w:line="252" w:lineRule="auto"/>
        <w:ind w:right="1437"/>
        <w:jc w:val="both"/>
      </w:pPr>
      <w:r w:rsidRPr="001D73A3">
        <w:t>Total bilirubin ≤ 1.5 x institutional upper limit of normal (ULN) (patients with known Gilbert’s disease who have bilirubin level ≤ 3 x institutional ULN may be enrolled)</w:t>
      </w:r>
    </w:p>
    <w:p w14:paraId="36A8E668" w14:textId="77777777" w:rsidR="001D73A3" w:rsidRDefault="001D73A3" w:rsidP="009123AB">
      <w:pPr>
        <w:numPr>
          <w:ilvl w:val="0"/>
          <w:numId w:val="25"/>
        </w:numPr>
        <w:spacing w:before="113" w:after="0" w:line="252" w:lineRule="auto"/>
        <w:ind w:right="1437"/>
        <w:jc w:val="both"/>
      </w:pPr>
      <w:r w:rsidRPr="001D73A3">
        <w:t>AST and ALT ≤3 x institutional ULN</w:t>
      </w:r>
    </w:p>
    <w:p w14:paraId="58E0C20F" w14:textId="77777777" w:rsidR="009123AB" w:rsidRPr="001D73A3" w:rsidRDefault="009123AB" w:rsidP="009123AB">
      <w:pPr>
        <w:spacing w:before="113" w:after="0" w:line="252" w:lineRule="auto"/>
        <w:ind w:left="1540" w:right="1437"/>
        <w:jc w:val="both"/>
      </w:pPr>
    </w:p>
    <w:p w14:paraId="089BF768" w14:textId="77777777" w:rsidR="001D73A3" w:rsidRPr="001D73A3" w:rsidRDefault="001D73A3" w:rsidP="001D73A3">
      <w:pPr>
        <w:numPr>
          <w:ilvl w:val="2"/>
          <w:numId w:val="24"/>
        </w:numPr>
        <w:spacing w:before="113" w:line="252" w:lineRule="auto"/>
        <w:ind w:right="1437"/>
        <w:jc w:val="both"/>
      </w:pPr>
      <w:r w:rsidRPr="001D73A3">
        <w:t>Adequate cardiac function defined as follows:</w:t>
      </w:r>
    </w:p>
    <w:p w14:paraId="35BEFBF3" w14:textId="6522D263" w:rsidR="009123AB" w:rsidRPr="001D73A3" w:rsidRDefault="001D73A3" w:rsidP="009123AB">
      <w:pPr>
        <w:numPr>
          <w:ilvl w:val="3"/>
          <w:numId w:val="24"/>
        </w:numPr>
        <w:spacing w:before="113" w:line="252" w:lineRule="auto"/>
        <w:ind w:right="1437"/>
        <w:jc w:val="both"/>
      </w:pPr>
      <w:r w:rsidRPr="001D73A3">
        <w:t xml:space="preserve">Patients with known history or current symptoms of cardiac disease, or history of treatment with cardiotoxic agents, should have a clinical risk assessment of cardiac function using the New York Heart Association Functional Classification. To be eligible </w:t>
      </w:r>
      <w:r w:rsidRPr="001D73A3">
        <w:lastRenderedPageBreak/>
        <w:t xml:space="preserve">for this trial, patients should be class II or better (see </w:t>
      </w:r>
      <w:r w:rsidRPr="001D73A3">
        <w:rPr>
          <w:u w:val="single"/>
        </w:rPr>
        <w:t>Appendix III</w:t>
      </w:r>
      <w:r w:rsidRPr="001D73A3">
        <w:t>: New York Heart Association (NYHA) Functional Classification)</w:t>
      </w:r>
    </w:p>
    <w:p w14:paraId="5659BCCA" w14:textId="77777777" w:rsidR="001D73A3" w:rsidRPr="001D73A3" w:rsidRDefault="001D73A3" w:rsidP="001D73A3">
      <w:pPr>
        <w:numPr>
          <w:ilvl w:val="2"/>
          <w:numId w:val="24"/>
        </w:numPr>
        <w:spacing w:before="113" w:line="252" w:lineRule="auto"/>
        <w:ind w:right="1437"/>
        <w:jc w:val="both"/>
        <w:rPr>
          <w:b/>
          <w:bCs/>
        </w:rPr>
      </w:pPr>
      <w:bookmarkStart w:id="6" w:name="_bookmark3"/>
      <w:bookmarkEnd w:id="6"/>
      <w:r w:rsidRPr="001D73A3">
        <w:rPr>
          <w:b/>
          <w:bCs/>
        </w:rPr>
        <w:t>Comorbid Conditions</w:t>
      </w:r>
    </w:p>
    <w:p w14:paraId="4BAC66E0" w14:textId="77777777" w:rsidR="001D73A3" w:rsidRPr="001D73A3" w:rsidRDefault="001D73A3" w:rsidP="001D73A3">
      <w:pPr>
        <w:numPr>
          <w:ilvl w:val="3"/>
          <w:numId w:val="24"/>
        </w:numPr>
        <w:spacing w:before="113" w:line="252" w:lineRule="auto"/>
        <w:ind w:right="1437"/>
        <w:jc w:val="both"/>
      </w:pPr>
      <w:r w:rsidRPr="001D73A3">
        <w:t>No active infection requiring parenteral antibiotics</w:t>
      </w:r>
    </w:p>
    <w:p w14:paraId="2FF382E2" w14:textId="77777777" w:rsidR="001D73A3" w:rsidRPr="001D73A3" w:rsidRDefault="001D73A3" w:rsidP="001D73A3">
      <w:pPr>
        <w:numPr>
          <w:ilvl w:val="3"/>
          <w:numId w:val="24"/>
        </w:numPr>
        <w:spacing w:before="113" w:line="252" w:lineRule="auto"/>
        <w:ind w:right="1437"/>
        <w:jc w:val="both"/>
      </w:pPr>
      <w:r w:rsidRPr="001D73A3">
        <w:t>No current evidence of intra-abdominal abscess, abdominal/pelvic fistula (not diverted), gastrointestinal perforation, GI obstruction, and/or need for drainage nasogastric or gastrostomy tube</w:t>
      </w:r>
    </w:p>
    <w:p w14:paraId="2BF0D3F9" w14:textId="77777777" w:rsidR="001D73A3" w:rsidRPr="009123AB" w:rsidRDefault="001D73A3" w:rsidP="001D73A3">
      <w:pPr>
        <w:numPr>
          <w:ilvl w:val="3"/>
          <w:numId w:val="24"/>
        </w:numPr>
        <w:spacing w:before="113" w:line="252" w:lineRule="auto"/>
        <w:ind w:right="1437"/>
        <w:jc w:val="both"/>
      </w:pPr>
      <w:r w:rsidRPr="001D73A3">
        <w:t>No clinically significant bleeding within 28 days prior to registration</w:t>
      </w:r>
    </w:p>
    <w:p w14:paraId="7DD18BD9" w14:textId="77777777" w:rsidR="00D072EB" w:rsidRPr="001D73A3" w:rsidRDefault="00D072EB" w:rsidP="00D072EB">
      <w:pPr>
        <w:numPr>
          <w:ilvl w:val="3"/>
          <w:numId w:val="24"/>
        </w:numPr>
        <w:spacing w:before="113" w:line="252" w:lineRule="auto"/>
        <w:ind w:right="1437"/>
        <w:jc w:val="both"/>
      </w:pPr>
      <w:r w:rsidRPr="001D73A3">
        <w:t>No uncontrolled hypertension, defined as systolic ≥160 mm Hg or diastolic ≥100 mm Hg</w:t>
      </w:r>
    </w:p>
    <w:p w14:paraId="6AEEFF63" w14:textId="77777777" w:rsidR="00D072EB" w:rsidRPr="001D73A3" w:rsidRDefault="00D072EB" w:rsidP="00D072EB">
      <w:pPr>
        <w:numPr>
          <w:ilvl w:val="0"/>
          <w:numId w:val="23"/>
        </w:numPr>
        <w:spacing w:before="113" w:line="252" w:lineRule="auto"/>
        <w:ind w:right="1437"/>
        <w:jc w:val="both"/>
      </w:pPr>
      <w:r w:rsidRPr="001D73A3">
        <w:t>No major surgery within 28 days of initiation of bevacizumab</w:t>
      </w:r>
    </w:p>
    <w:p w14:paraId="6DC86708" w14:textId="77777777" w:rsidR="00D072EB" w:rsidRPr="001D73A3" w:rsidRDefault="00D072EB" w:rsidP="00D072EB">
      <w:pPr>
        <w:numPr>
          <w:ilvl w:val="0"/>
          <w:numId w:val="23"/>
        </w:numPr>
        <w:spacing w:before="113" w:line="252" w:lineRule="auto"/>
        <w:ind w:right="1437"/>
        <w:jc w:val="both"/>
      </w:pPr>
      <w:r w:rsidRPr="001D73A3">
        <w:t xml:space="preserve">No active autoimmune disease or history of autoimmune disease that might recur, which may affect vital organ function or require immune suppressive treatment including corticosteroids (see </w:t>
      </w:r>
      <w:r w:rsidRPr="001D73A3">
        <w:rPr>
          <w:u w:val="single"/>
        </w:rPr>
        <w:t>Section 5.2.2</w:t>
      </w:r>
      <w:r w:rsidRPr="001D73A3">
        <w:t>). This includes, but is not limited to, patients with a history of immune related neurologic disease, multiple sclerosis, autoimmune (demyelinating) neuropathy, Guillain-Barre syndrome, myasthenia gravis; systemic autoimmune disease such as SLE, connective tissue diseases, scleroderma, inflammatory bowel disease (IBD), Crohn’s, ulcerative colitis, hepatitis; and patients with a history of toxic epidermal necrolysis (TEN), Stevens-Johnson syndrome, or phospholipid syndrome because of the risk of recurrence or exacerbation of disease.</w:t>
      </w:r>
    </w:p>
    <w:p w14:paraId="3C2597AA" w14:textId="77777777" w:rsidR="00D072EB" w:rsidRPr="001D73A3" w:rsidRDefault="00D072EB" w:rsidP="009123AB">
      <w:pPr>
        <w:numPr>
          <w:ilvl w:val="2"/>
          <w:numId w:val="23"/>
        </w:numPr>
        <w:spacing w:before="113" w:line="252" w:lineRule="auto"/>
        <w:ind w:right="1437"/>
        <w:jc w:val="both"/>
      </w:pPr>
      <w:r w:rsidRPr="001D73A3">
        <w:t>Patients with vitiligo, endocrine deficiencies including type I diabetes mellitus, thyroiditis managed with replacement hormones including physiologic corticosteroids are eligible.</w:t>
      </w:r>
    </w:p>
    <w:p w14:paraId="0938350B" w14:textId="77777777" w:rsidR="00D072EB" w:rsidRPr="001D73A3" w:rsidRDefault="00D072EB" w:rsidP="009123AB">
      <w:pPr>
        <w:numPr>
          <w:ilvl w:val="2"/>
          <w:numId w:val="23"/>
        </w:numPr>
        <w:spacing w:before="113" w:line="252" w:lineRule="auto"/>
        <w:ind w:right="1437"/>
        <w:jc w:val="both"/>
      </w:pPr>
      <w:r w:rsidRPr="001D73A3">
        <w:t>Topical or inhaled steroids are allowed.</w:t>
      </w:r>
    </w:p>
    <w:p w14:paraId="4C57AA22" w14:textId="77777777" w:rsidR="00D072EB" w:rsidRPr="001D73A3" w:rsidRDefault="00D072EB" w:rsidP="009123AB">
      <w:pPr>
        <w:numPr>
          <w:ilvl w:val="2"/>
          <w:numId w:val="23"/>
        </w:numPr>
        <w:spacing w:before="113" w:line="252" w:lineRule="auto"/>
        <w:ind w:right="1437"/>
        <w:jc w:val="both"/>
      </w:pPr>
      <w:r w:rsidRPr="001D73A3">
        <w:t>Patients with rheumatoid arthritis and other arthropathies, Sjogren’s syndrome and psoriasis controlled with topical medication and patients with positive serology, such as antinuclear antibodies (ANA), and anti-thyroid antibodies should be evaluated with the presence of target organ involvement and potential need for systemic treatment but should otherwise be eligible.</w:t>
      </w:r>
    </w:p>
    <w:p w14:paraId="5A26AA99" w14:textId="77777777" w:rsidR="00D072EB" w:rsidRPr="001D73A3" w:rsidRDefault="00D072EB" w:rsidP="00D072EB">
      <w:pPr>
        <w:numPr>
          <w:ilvl w:val="0"/>
          <w:numId w:val="22"/>
        </w:numPr>
        <w:spacing w:before="113" w:line="252" w:lineRule="auto"/>
        <w:ind w:right="1437"/>
        <w:jc w:val="both"/>
      </w:pPr>
      <w:r w:rsidRPr="001D73A3">
        <w:t>No history of (non-infectious) pneumonitis that required steroids, or current pneumonitis.</w:t>
      </w:r>
    </w:p>
    <w:p w14:paraId="186B9E07" w14:textId="77777777" w:rsidR="00D072EB" w:rsidRPr="001D73A3" w:rsidRDefault="00D072EB" w:rsidP="00D072EB">
      <w:pPr>
        <w:numPr>
          <w:ilvl w:val="0"/>
          <w:numId w:val="22"/>
        </w:numPr>
        <w:spacing w:before="113" w:line="252" w:lineRule="auto"/>
        <w:ind w:right="1437"/>
        <w:jc w:val="both"/>
      </w:pPr>
      <w:r w:rsidRPr="001D73A3">
        <w:t>No history of stem cell or solid organ transplant.</w:t>
      </w:r>
    </w:p>
    <w:p w14:paraId="10759A88" w14:textId="05F3499A" w:rsidR="00EC7A69" w:rsidRPr="00EC7A69" w:rsidRDefault="00D072EB" w:rsidP="00EC7A69">
      <w:pPr>
        <w:spacing w:before="113" w:line="252" w:lineRule="auto"/>
        <w:ind w:right="1437"/>
        <w:jc w:val="both"/>
        <w:rPr>
          <w:b/>
          <w:bCs/>
        </w:rPr>
      </w:pPr>
      <w:r w:rsidRPr="001D73A3">
        <w:rPr>
          <w:b/>
          <w:bCs/>
        </w:rPr>
        <w:t>3.2.9 Allergies</w:t>
      </w:r>
    </w:p>
    <w:p w14:paraId="7D4BEC32" w14:textId="1CB2BFD2" w:rsidR="00585D29" w:rsidRPr="001D73A3" w:rsidRDefault="00D072EB" w:rsidP="00EC7A69">
      <w:pPr>
        <w:numPr>
          <w:ilvl w:val="0"/>
          <w:numId w:val="22"/>
        </w:numPr>
        <w:spacing w:before="113" w:line="252" w:lineRule="auto"/>
        <w:ind w:right="1437"/>
        <w:jc w:val="both"/>
        <w:sectPr w:rsidR="00585D29" w:rsidRPr="001D73A3" w:rsidSect="006B09FC">
          <w:type w:val="continuous"/>
          <w:pgSz w:w="12240" w:h="15840"/>
          <w:pgMar w:top="720" w:right="720" w:bottom="720" w:left="720" w:header="720" w:footer="720" w:gutter="0"/>
          <w:cols w:space="720"/>
          <w:noEndnote/>
        </w:sectPr>
      </w:pPr>
      <w:r w:rsidRPr="001D73A3">
        <w:t>No history of allergic reaction to the study agent(s) or compounds of similar chemical or biologic composition to the study agent(s) (or any of its excipient</w:t>
      </w:r>
    </w:p>
    <w:p w14:paraId="2B6AA9A5" w14:textId="6B30DFB2" w:rsidR="009E04C3" w:rsidRPr="009123AB" w:rsidRDefault="00585D29" w:rsidP="00D072EB">
      <w:pPr>
        <w:spacing w:before="113" w:line="252" w:lineRule="auto"/>
        <w:ind w:right="1437"/>
        <w:jc w:val="both"/>
      </w:pPr>
      <w:r w:rsidRPr="006B09FC">
        <w:rPr>
          <w:rFonts w:ascii="Times New Roman" w:hAnsi="Times New Roman" w:cs="Times New Roman"/>
          <w:noProof/>
          <w:sz w:val="20"/>
        </w:rPr>
        <w:lastRenderedPageBreak/>
        <w:drawing>
          <wp:inline distT="0" distB="0" distL="0" distR="0" wp14:anchorId="4D029D22" wp14:editId="594232E5">
            <wp:extent cx="6858000" cy="4143375"/>
            <wp:effectExtent l="0" t="0" r="0" b="9525"/>
            <wp:docPr id="237993847"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93847" name="Picture 1" descr="A screenshot of a medical report&#10;&#10;AI-generated content may be incorrect."/>
                    <pic:cNvPicPr/>
                  </pic:nvPicPr>
                  <pic:blipFill>
                    <a:blip r:embed="rId19"/>
                    <a:stretch>
                      <a:fillRect/>
                    </a:stretch>
                  </pic:blipFill>
                  <pic:spPr>
                    <a:xfrm>
                      <a:off x="0" y="0"/>
                      <a:ext cx="6858000" cy="4143375"/>
                    </a:xfrm>
                    <a:prstGeom prst="rect">
                      <a:avLst/>
                    </a:prstGeom>
                  </pic:spPr>
                </pic:pic>
              </a:graphicData>
            </a:graphic>
          </wp:inline>
        </w:drawing>
      </w:r>
    </w:p>
    <w:sectPr w:rsidR="009E04C3" w:rsidRPr="009123AB" w:rsidSect="006B09FC">
      <w:headerReference w:type="default" r:id="rId20"/>
      <w:footerReference w:type="default" r:id="rId21"/>
      <w:pgSz w:w="12240" w:h="15840"/>
      <w:pgMar w:top="720" w:right="720" w:bottom="720" w:left="720" w:header="728"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B676" w14:textId="77777777" w:rsidR="008A0A21" w:rsidRDefault="008A0A21" w:rsidP="000B50D1">
      <w:pPr>
        <w:spacing w:after="0" w:line="240" w:lineRule="auto"/>
      </w:pPr>
      <w:r>
        <w:separator/>
      </w:r>
    </w:p>
  </w:endnote>
  <w:endnote w:type="continuationSeparator" w:id="0">
    <w:p w14:paraId="6DE60FD5" w14:textId="77777777" w:rsidR="008A0A21" w:rsidRDefault="008A0A21" w:rsidP="000B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BB20" w14:textId="77777777" w:rsidR="007F21DB" w:rsidRDefault="007F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193D" w14:textId="4F24DE66" w:rsidR="00461F28" w:rsidRPr="000B50D1" w:rsidRDefault="00461F28" w:rsidP="00461F28">
    <w:pPr>
      <w:pStyle w:val="Footer"/>
      <w:rPr>
        <w:rFonts w:ascii="Times New Roman" w:hAnsi="Times New Roman" w:cs="Times New Roman"/>
        <w:sz w:val="20"/>
      </w:rPr>
    </w:pPr>
    <w:r w:rsidRPr="000B50D1">
      <w:rPr>
        <w:rFonts w:ascii="Times New Roman" w:hAnsi="Times New Roman" w:cs="Times New Roman"/>
        <w:sz w:val="20"/>
      </w:rPr>
      <w:t>[</w:t>
    </w:r>
    <w:r>
      <w:rPr>
        <w:rFonts w:ascii="Times New Roman" w:hAnsi="Times New Roman" w:cs="Times New Roman"/>
        <w:sz w:val="20"/>
      </w:rPr>
      <w:t xml:space="preserve">FF_pv </w:t>
    </w:r>
    <w:r w:rsidR="007F21DB">
      <w:rPr>
        <w:rFonts w:ascii="Times New Roman" w:hAnsi="Times New Roman" w:cs="Times New Roman"/>
        <w:sz w:val="20"/>
      </w:rPr>
      <w:t>02/25/26</w:t>
    </w:r>
    <w:r w:rsidRPr="000B50D1">
      <w:rPr>
        <w:rFonts w:ascii="Times New Roman" w:hAnsi="Times New Roman" w:cs="Times New Roman"/>
        <w:sz w:val="20"/>
      </w:rPr>
      <w:t>]</w:t>
    </w:r>
    <w:r w:rsidRPr="000B50D1">
      <w:rPr>
        <w:rFonts w:ascii="Times New Roman" w:hAnsi="Times New Roman" w:cs="Times New Roman"/>
        <w:sz w:val="20"/>
      </w:rPr>
      <w:tab/>
      <w:t xml:space="preserve">Version </w:t>
    </w:r>
    <w:r>
      <w:rPr>
        <w:rFonts w:ascii="Times New Roman" w:hAnsi="Times New Roman" w:cs="Times New Roman"/>
        <w:sz w:val="20"/>
      </w:rPr>
      <w:t>1</w:t>
    </w:r>
    <w:r w:rsidRPr="000B50D1">
      <w:rPr>
        <w:rFonts w:ascii="Times New Roman" w:hAnsi="Times New Roman" w:cs="Times New Roman"/>
        <w:sz w:val="20"/>
      </w:rPr>
      <w:tab/>
    </w:r>
    <w:r>
      <w:rPr>
        <w:rFonts w:ascii="Times New Roman" w:hAnsi="Times New Roman" w:cs="Times New Roman"/>
        <w:sz w:val="20"/>
      </w:rPr>
      <w:t>NRG GY035</w:t>
    </w:r>
    <w:r w:rsidRPr="006B09FC">
      <w:rPr>
        <w:noProof/>
      </w:rPr>
      <w:t xml:space="preserve"> </w:t>
    </w:r>
  </w:p>
  <w:p w14:paraId="40A8C7D0" w14:textId="77777777" w:rsidR="00461F28" w:rsidRDefault="00461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EC81" w14:textId="77777777" w:rsidR="007F21DB" w:rsidRDefault="007F21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C760" w14:textId="0EB48ABE" w:rsidR="000B50D1" w:rsidRPr="000B50D1" w:rsidRDefault="000B50D1">
    <w:pPr>
      <w:pStyle w:val="Footer"/>
      <w:rPr>
        <w:rFonts w:ascii="Times New Roman" w:hAnsi="Times New Roman" w:cs="Times New Roman"/>
        <w:sz w:val="20"/>
      </w:rPr>
    </w:pPr>
    <w:r w:rsidRPr="000B50D1">
      <w:rPr>
        <w:rFonts w:ascii="Times New Roman" w:hAnsi="Times New Roman" w:cs="Times New Roman"/>
        <w:sz w:val="20"/>
      </w:rPr>
      <w:t>[</w:t>
    </w:r>
    <w:r w:rsidR="001B1E70">
      <w:rPr>
        <w:rFonts w:ascii="Times New Roman" w:hAnsi="Times New Roman" w:cs="Times New Roman"/>
        <w:sz w:val="20"/>
      </w:rPr>
      <w:t xml:space="preserve">FF_pv </w:t>
    </w:r>
    <w:r w:rsidR="00D072EB">
      <w:rPr>
        <w:rFonts w:ascii="Times New Roman" w:hAnsi="Times New Roman" w:cs="Times New Roman"/>
        <w:sz w:val="20"/>
      </w:rPr>
      <w:t>10/09</w:t>
    </w:r>
    <w:r w:rsidR="00630908">
      <w:rPr>
        <w:rFonts w:ascii="Times New Roman" w:hAnsi="Times New Roman" w:cs="Times New Roman"/>
        <w:sz w:val="20"/>
      </w:rPr>
      <w:t>/</w:t>
    </w:r>
    <w:r w:rsidR="000F6D32">
      <w:rPr>
        <w:rFonts w:ascii="Times New Roman" w:hAnsi="Times New Roman" w:cs="Times New Roman"/>
        <w:sz w:val="20"/>
      </w:rPr>
      <w:t>25</w:t>
    </w:r>
    <w:r w:rsidRPr="000B50D1">
      <w:rPr>
        <w:rFonts w:ascii="Times New Roman" w:hAnsi="Times New Roman" w:cs="Times New Roman"/>
        <w:sz w:val="20"/>
      </w:rPr>
      <w:t>]</w:t>
    </w:r>
    <w:r w:rsidRPr="000B50D1">
      <w:rPr>
        <w:rFonts w:ascii="Times New Roman" w:hAnsi="Times New Roman" w:cs="Times New Roman"/>
        <w:sz w:val="20"/>
      </w:rPr>
      <w:tab/>
      <w:t xml:space="preserve">Version </w:t>
    </w:r>
    <w:r w:rsidR="00A421BA">
      <w:rPr>
        <w:rFonts w:ascii="Times New Roman" w:hAnsi="Times New Roman" w:cs="Times New Roman"/>
        <w:sz w:val="20"/>
      </w:rPr>
      <w:t>1</w:t>
    </w:r>
    <w:r w:rsidRPr="000B50D1">
      <w:rPr>
        <w:rFonts w:ascii="Times New Roman" w:hAnsi="Times New Roman" w:cs="Times New Roman"/>
        <w:sz w:val="20"/>
      </w:rPr>
      <w:tab/>
    </w:r>
    <w:r w:rsidR="00E00AE6">
      <w:rPr>
        <w:rFonts w:ascii="Times New Roman" w:hAnsi="Times New Roman" w:cs="Times New Roman"/>
        <w:sz w:val="20"/>
      </w:rPr>
      <w:t>NRG G</w:t>
    </w:r>
    <w:r w:rsidR="000F6D32">
      <w:rPr>
        <w:rFonts w:ascii="Times New Roman" w:hAnsi="Times New Roman" w:cs="Times New Roman"/>
        <w:sz w:val="20"/>
      </w:rPr>
      <w:t>Y03</w:t>
    </w:r>
    <w:r w:rsidR="00D072EB">
      <w:rPr>
        <w:rFonts w:ascii="Times New Roman" w:hAnsi="Times New Roman" w:cs="Times New Roman"/>
        <w:sz w:val="20"/>
      </w:rPr>
      <w:t>5</w:t>
    </w:r>
    <w:r w:rsidR="006B09FC" w:rsidRPr="006B09F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A3EA" w14:textId="77777777" w:rsidR="008A0A21" w:rsidRDefault="008A0A21" w:rsidP="000B50D1">
      <w:pPr>
        <w:spacing w:after="0" w:line="240" w:lineRule="auto"/>
      </w:pPr>
      <w:r>
        <w:separator/>
      </w:r>
    </w:p>
  </w:footnote>
  <w:footnote w:type="continuationSeparator" w:id="0">
    <w:p w14:paraId="0E269C43" w14:textId="77777777" w:rsidR="008A0A21" w:rsidRDefault="008A0A21" w:rsidP="000B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BB61" w14:textId="77777777" w:rsidR="007F21DB" w:rsidRDefault="007F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008852"/>
      <w:docPartObj>
        <w:docPartGallery w:val="Page Numbers (Top of Page)"/>
        <w:docPartUnique/>
      </w:docPartObj>
    </w:sdtPr>
    <w:sdtEndPr>
      <w:rPr>
        <w:rFonts w:ascii="Times New Roman" w:hAnsi="Times New Roman" w:cs="Times New Roman"/>
        <w:sz w:val="20"/>
        <w:szCs w:val="20"/>
      </w:rPr>
    </w:sdtEndPr>
    <w:sdtContent>
      <w:p w14:paraId="02186F8D" w14:textId="77777777" w:rsidR="00710FAC" w:rsidRPr="000B50D1" w:rsidRDefault="00710FAC" w:rsidP="00710FAC">
        <w:pPr>
          <w:pStyle w:val="Header"/>
          <w:jc w:val="right"/>
          <w:rPr>
            <w:rFonts w:ascii="Times New Roman" w:hAnsi="Times New Roman" w:cs="Times New Roman"/>
            <w:sz w:val="20"/>
            <w:szCs w:val="20"/>
          </w:rPr>
        </w:pPr>
        <w:r w:rsidRPr="000B50D1">
          <w:rPr>
            <w:rFonts w:ascii="Times New Roman" w:hAnsi="Times New Roman" w:cs="Times New Roman"/>
            <w:sz w:val="20"/>
            <w:szCs w:val="20"/>
          </w:rPr>
          <w:t xml:space="preserve">Page </w:t>
        </w:r>
        <w:r w:rsidRPr="000B50D1">
          <w:rPr>
            <w:rFonts w:ascii="Times New Roman" w:hAnsi="Times New Roman" w:cs="Times New Roman"/>
            <w:b/>
            <w:bCs/>
            <w:sz w:val="20"/>
            <w:szCs w:val="20"/>
          </w:rPr>
          <w:fldChar w:fldCharType="begin"/>
        </w:r>
        <w:r w:rsidRPr="000B50D1">
          <w:rPr>
            <w:rFonts w:ascii="Times New Roman" w:hAnsi="Times New Roman" w:cs="Times New Roman"/>
            <w:b/>
            <w:bCs/>
            <w:sz w:val="20"/>
            <w:szCs w:val="20"/>
          </w:rPr>
          <w:instrText xml:space="preserve"> PAGE </w:instrText>
        </w:r>
        <w:r w:rsidRPr="000B50D1">
          <w:rPr>
            <w:rFonts w:ascii="Times New Roman" w:hAnsi="Times New Roman" w:cs="Times New Roman"/>
            <w:b/>
            <w:bCs/>
            <w:sz w:val="20"/>
            <w:szCs w:val="20"/>
          </w:rPr>
          <w:fldChar w:fldCharType="separate"/>
        </w:r>
        <w:r>
          <w:rPr>
            <w:rFonts w:ascii="Times New Roman" w:hAnsi="Times New Roman" w:cs="Times New Roman"/>
            <w:b/>
            <w:bCs/>
            <w:sz w:val="20"/>
            <w:szCs w:val="20"/>
          </w:rPr>
          <w:t>5</w:t>
        </w:r>
        <w:r w:rsidRPr="000B50D1">
          <w:rPr>
            <w:rFonts w:ascii="Times New Roman" w:hAnsi="Times New Roman" w:cs="Times New Roman"/>
            <w:b/>
            <w:bCs/>
            <w:sz w:val="20"/>
            <w:szCs w:val="20"/>
          </w:rPr>
          <w:fldChar w:fldCharType="end"/>
        </w:r>
        <w:r w:rsidRPr="000B50D1">
          <w:rPr>
            <w:rFonts w:ascii="Times New Roman" w:hAnsi="Times New Roman" w:cs="Times New Roman"/>
            <w:sz w:val="20"/>
            <w:szCs w:val="20"/>
          </w:rPr>
          <w:t xml:space="preserve"> of </w:t>
        </w:r>
        <w:r w:rsidRPr="000B50D1">
          <w:rPr>
            <w:rFonts w:ascii="Times New Roman" w:hAnsi="Times New Roman" w:cs="Times New Roman"/>
            <w:b/>
            <w:bCs/>
            <w:sz w:val="20"/>
            <w:szCs w:val="20"/>
          </w:rPr>
          <w:fldChar w:fldCharType="begin"/>
        </w:r>
        <w:r w:rsidRPr="000B50D1">
          <w:rPr>
            <w:rFonts w:ascii="Times New Roman" w:hAnsi="Times New Roman" w:cs="Times New Roman"/>
            <w:b/>
            <w:bCs/>
            <w:sz w:val="20"/>
            <w:szCs w:val="20"/>
          </w:rPr>
          <w:instrText xml:space="preserve"> NUMPAGES  </w:instrText>
        </w:r>
        <w:r w:rsidRPr="000B50D1">
          <w:rPr>
            <w:rFonts w:ascii="Times New Roman" w:hAnsi="Times New Roman" w:cs="Times New Roman"/>
            <w:b/>
            <w:bCs/>
            <w:sz w:val="20"/>
            <w:szCs w:val="20"/>
          </w:rPr>
          <w:fldChar w:fldCharType="separate"/>
        </w:r>
        <w:r>
          <w:rPr>
            <w:rFonts w:ascii="Times New Roman" w:hAnsi="Times New Roman" w:cs="Times New Roman"/>
            <w:b/>
            <w:bCs/>
            <w:sz w:val="20"/>
            <w:szCs w:val="20"/>
          </w:rPr>
          <w:t>5</w:t>
        </w:r>
        <w:r w:rsidRPr="000B50D1">
          <w:rPr>
            <w:rFonts w:ascii="Times New Roman" w:hAnsi="Times New Roman" w:cs="Times New Roman"/>
            <w:b/>
            <w:bCs/>
            <w:sz w:val="20"/>
            <w:szCs w:val="20"/>
          </w:rPr>
          <w:fldChar w:fldCharType="end"/>
        </w:r>
      </w:p>
    </w:sdtContent>
  </w:sdt>
  <w:p w14:paraId="6666A3D6" w14:textId="77777777" w:rsidR="00710FAC" w:rsidRDefault="00710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87DF" w14:textId="77777777" w:rsidR="007F21DB" w:rsidRDefault="007F2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Times New Roman" w:hAnsi="Times New Roman" w:cs="Times New Roman"/>
        <w:sz w:val="20"/>
        <w:szCs w:val="20"/>
      </w:rPr>
    </w:sdtEndPr>
    <w:sdtContent>
      <w:p w14:paraId="14397DAD" w14:textId="77777777" w:rsidR="000B50D1" w:rsidRPr="000B50D1" w:rsidRDefault="000B50D1">
        <w:pPr>
          <w:pStyle w:val="Header"/>
          <w:jc w:val="right"/>
          <w:rPr>
            <w:rFonts w:ascii="Times New Roman" w:hAnsi="Times New Roman" w:cs="Times New Roman"/>
            <w:sz w:val="20"/>
            <w:szCs w:val="20"/>
          </w:rPr>
        </w:pPr>
        <w:r w:rsidRPr="000B50D1">
          <w:rPr>
            <w:rFonts w:ascii="Times New Roman" w:hAnsi="Times New Roman" w:cs="Times New Roman"/>
            <w:sz w:val="20"/>
            <w:szCs w:val="20"/>
          </w:rPr>
          <w:t xml:space="preserve">Page </w:t>
        </w:r>
        <w:r w:rsidRPr="000B50D1">
          <w:rPr>
            <w:rFonts w:ascii="Times New Roman" w:hAnsi="Times New Roman" w:cs="Times New Roman"/>
            <w:b/>
            <w:bCs/>
            <w:sz w:val="20"/>
            <w:szCs w:val="20"/>
          </w:rPr>
          <w:fldChar w:fldCharType="begin"/>
        </w:r>
        <w:r w:rsidRPr="000B50D1">
          <w:rPr>
            <w:rFonts w:ascii="Times New Roman" w:hAnsi="Times New Roman" w:cs="Times New Roman"/>
            <w:b/>
            <w:bCs/>
            <w:sz w:val="20"/>
            <w:szCs w:val="20"/>
          </w:rPr>
          <w:instrText xml:space="preserve"> PAGE </w:instrText>
        </w:r>
        <w:r w:rsidRPr="000B50D1">
          <w:rPr>
            <w:rFonts w:ascii="Times New Roman" w:hAnsi="Times New Roman" w:cs="Times New Roman"/>
            <w:b/>
            <w:bCs/>
            <w:sz w:val="20"/>
            <w:szCs w:val="20"/>
          </w:rPr>
          <w:fldChar w:fldCharType="separate"/>
        </w:r>
        <w:r w:rsidR="00B60179">
          <w:rPr>
            <w:rFonts w:ascii="Times New Roman" w:hAnsi="Times New Roman" w:cs="Times New Roman"/>
            <w:b/>
            <w:bCs/>
            <w:noProof/>
            <w:sz w:val="20"/>
            <w:szCs w:val="20"/>
          </w:rPr>
          <w:t>1</w:t>
        </w:r>
        <w:r w:rsidRPr="000B50D1">
          <w:rPr>
            <w:rFonts w:ascii="Times New Roman" w:hAnsi="Times New Roman" w:cs="Times New Roman"/>
            <w:b/>
            <w:bCs/>
            <w:sz w:val="20"/>
            <w:szCs w:val="20"/>
          </w:rPr>
          <w:fldChar w:fldCharType="end"/>
        </w:r>
        <w:r w:rsidRPr="000B50D1">
          <w:rPr>
            <w:rFonts w:ascii="Times New Roman" w:hAnsi="Times New Roman" w:cs="Times New Roman"/>
            <w:sz w:val="20"/>
            <w:szCs w:val="20"/>
          </w:rPr>
          <w:t xml:space="preserve"> of </w:t>
        </w:r>
        <w:r w:rsidRPr="000B50D1">
          <w:rPr>
            <w:rFonts w:ascii="Times New Roman" w:hAnsi="Times New Roman" w:cs="Times New Roman"/>
            <w:b/>
            <w:bCs/>
            <w:sz w:val="20"/>
            <w:szCs w:val="20"/>
          </w:rPr>
          <w:fldChar w:fldCharType="begin"/>
        </w:r>
        <w:r w:rsidRPr="000B50D1">
          <w:rPr>
            <w:rFonts w:ascii="Times New Roman" w:hAnsi="Times New Roman" w:cs="Times New Roman"/>
            <w:b/>
            <w:bCs/>
            <w:sz w:val="20"/>
            <w:szCs w:val="20"/>
          </w:rPr>
          <w:instrText xml:space="preserve"> NUMPAGES  </w:instrText>
        </w:r>
        <w:r w:rsidRPr="000B50D1">
          <w:rPr>
            <w:rFonts w:ascii="Times New Roman" w:hAnsi="Times New Roman" w:cs="Times New Roman"/>
            <w:b/>
            <w:bCs/>
            <w:sz w:val="20"/>
            <w:szCs w:val="20"/>
          </w:rPr>
          <w:fldChar w:fldCharType="separate"/>
        </w:r>
        <w:r w:rsidR="00B60179">
          <w:rPr>
            <w:rFonts w:ascii="Times New Roman" w:hAnsi="Times New Roman" w:cs="Times New Roman"/>
            <w:b/>
            <w:bCs/>
            <w:noProof/>
            <w:sz w:val="20"/>
            <w:szCs w:val="20"/>
          </w:rPr>
          <w:t>4</w:t>
        </w:r>
        <w:r w:rsidRPr="000B50D1">
          <w:rPr>
            <w:rFonts w:ascii="Times New Roman" w:hAnsi="Times New Roman" w:cs="Times New Roman"/>
            <w:b/>
            <w:bCs/>
            <w:sz w:val="20"/>
            <w:szCs w:val="20"/>
          </w:rPr>
          <w:fldChar w:fldCharType="end"/>
        </w:r>
      </w:p>
    </w:sdtContent>
  </w:sdt>
  <w:p w14:paraId="7C970AAC" w14:textId="77777777" w:rsidR="000B50D1" w:rsidRDefault="000B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56C4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3"/>
      <w:numFmt w:val="decimal"/>
      <w:lvlText w:val="%1."/>
      <w:lvlJc w:val="left"/>
      <w:pPr>
        <w:ind w:left="820" w:hanging="720"/>
      </w:pPr>
      <w:rPr>
        <w:rFonts w:ascii="Times New Roman" w:hAnsi="Times New Roman" w:cs="Times New Roman"/>
        <w:b/>
        <w:bCs/>
        <w:i w:val="0"/>
        <w:iCs w:val="0"/>
        <w:spacing w:val="0"/>
        <w:w w:val="100"/>
        <w:sz w:val="24"/>
        <w:szCs w:val="24"/>
      </w:rPr>
    </w:lvl>
    <w:lvl w:ilvl="1">
      <w:start w:val="1"/>
      <w:numFmt w:val="decimal"/>
      <w:lvlText w:val="%1.%2"/>
      <w:lvlJc w:val="left"/>
      <w:pPr>
        <w:ind w:left="803" w:hanging="704"/>
      </w:pPr>
      <w:rPr>
        <w:rFonts w:ascii="Times New Roman" w:hAnsi="Times New Roman" w:cs="Times New Roman"/>
        <w:b/>
        <w:bCs/>
        <w:i w:val="0"/>
        <w:iCs w:val="0"/>
        <w:spacing w:val="0"/>
        <w:w w:val="100"/>
        <w:sz w:val="24"/>
        <w:szCs w:val="24"/>
      </w:rPr>
    </w:lvl>
    <w:lvl w:ilvl="2">
      <w:numFmt w:val="bullet"/>
      <w:lvlText w:val="•"/>
      <w:lvlJc w:val="left"/>
      <w:pPr>
        <w:ind w:left="1820" w:hanging="704"/>
      </w:pPr>
    </w:lvl>
    <w:lvl w:ilvl="3">
      <w:numFmt w:val="bullet"/>
      <w:lvlText w:val="•"/>
      <w:lvlJc w:val="left"/>
      <w:pPr>
        <w:ind w:left="2820" w:hanging="704"/>
      </w:pPr>
    </w:lvl>
    <w:lvl w:ilvl="4">
      <w:numFmt w:val="bullet"/>
      <w:lvlText w:val="•"/>
      <w:lvlJc w:val="left"/>
      <w:pPr>
        <w:ind w:left="3820" w:hanging="704"/>
      </w:pPr>
    </w:lvl>
    <w:lvl w:ilvl="5">
      <w:numFmt w:val="bullet"/>
      <w:lvlText w:val="•"/>
      <w:lvlJc w:val="left"/>
      <w:pPr>
        <w:ind w:left="4820" w:hanging="704"/>
      </w:pPr>
    </w:lvl>
    <w:lvl w:ilvl="6">
      <w:numFmt w:val="bullet"/>
      <w:lvlText w:val="•"/>
      <w:lvlJc w:val="left"/>
      <w:pPr>
        <w:ind w:left="5820" w:hanging="704"/>
      </w:pPr>
    </w:lvl>
    <w:lvl w:ilvl="7">
      <w:numFmt w:val="bullet"/>
      <w:lvlText w:val="•"/>
      <w:lvlJc w:val="left"/>
      <w:pPr>
        <w:ind w:left="6820" w:hanging="704"/>
      </w:pPr>
    </w:lvl>
    <w:lvl w:ilvl="8">
      <w:numFmt w:val="bullet"/>
      <w:lvlText w:val="•"/>
      <w:lvlJc w:val="left"/>
      <w:pPr>
        <w:ind w:left="7820" w:hanging="704"/>
      </w:pPr>
    </w:lvl>
  </w:abstractNum>
  <w:abstractNum w:abstractNumId="2" w15:restartNumberingAfterBreak="0">
    <w:nsid w:val="00000403"/>
    <w:multiLevelType w:val="multilevel"/>
    <w:tmpl w:val="FFFFFFFF"/>
    <w:lvl w:ilvl="0">
      <w:numFmt w:val="bullet"/>
      <w:lvlText w:val=""/>
      <w:lvlJc w:val="left"/>
      <w:pPr>
        <w:ind w:left="1540" w:hanging="360"/>
      </w:pPr>
      <w:rPr>
        <w:rFonts w:ascii="Symbol" w:hAnsi="Symbol" w:cs="Symbol"/>
        <w:b w:val="0"/>
        <w:bCs w:val="0"/>
        <w:i w:val="0"/>
        <w:iCs w:val="0"/>
        <w:spacing w:val="0"/>
        <w:w w:val="100"/>
        <w:sz w:val="24"/>
        <w:szCs w:val="24"/>
      </w:rPr>
    </w:lvl>
    <w:lvl w:ilvl="1">
      <w:numFmt w:val="bullet"/>
      <w:lvlText w:val="o"/>
      <w:lvlJc w:val="left"/>
      <w:pPr>
        <w:ind w:left="2250" w:hanging="360"/>
      </w:pPr>
      <w:rPr>
        <w:rFonts w:ascii="Courier New" w:hAnsi="Courier New" w:cs="Courier New"/>
        <w:b w:val="0"/>
        <w:bCs w:val="0"/>
        <w:i w:val="0"/>
        <w:iCs w:val="0"/>
        <w:spacing w:val="0"/>
        <w:w w:val="100"/>
        <w:sz w:val="24"/>
        <w:szCs w:val="24"/>
      </w:rPr>
    </w:lvl>
    <w:lvl w:ilvl="2">
      <w:numFmt w:val="bullet"/>
      <w:lvlText w:val="•"/>
      <w:lvlJc w:val="left"/>
      <w:pPr>
        <w:ind w:left="3100" w:hanging="360"/>
      </w:pPr>
    </w:lvl>
    <w:lvl w:ilvl="3">
      <w:numFmt w:val="bullet"/>
      <w:lvlText w:val="•"/>
      <w:lvlJc w:val="left"/>
      <w:pPr>
        <w:ind w:left="3940" w:hanging="360"/>
      </w:pPr>
    </w:lvl>
    <w:lvl w:ilvl="4">
      <w:numFmt w:val="bullet"/>
      <w:lvlText w:val="•"/>
      <w:lvlJc w:val="left"/>
      <w:pPr>
        <w:ind w:left="4780" w:hanging="360"/>
      </w:pPr>
    </w:lvl>
    <w:lvl w:ilvl="5">
      <w:numFmt w:val="bullet"/>
      <w:lvlText w:val="•"/>
      <w:lvlJc w:val="left"/>
      <w:pPr>
        <w:ind w:left="5620" w:hanging="360"/>
      </w:pPr>
    </w:lvl>
    <w:lvl w:ilvl="6">
      <w:numFmt w:val="bullet"/>
      <w:lvlText w:val="•"/>
      <w:lvlJc w:val="left"/>
      <w:pPr>
        <w:ind w:left="6460" w:hanging="360"/>
      </w:pPr>
    </w:lvl>
    <w:lvl w:ilvl="7">
      <w:numFmt w:val="bullet"/>
      <w:lvlText w:val="•"/>
      <w:lvlJc w:val="left"/>
      <w:pPr>
        <w:ind w:left="7300" w:hanging="360"/>
      </w:pPr>
    </w:lvl>
    <w:lvl w:ilvl="8">
      <w:numFmt w:val="bullet"/>
      <w:lvlText w:val="•"/>
      <w:lvlJc w:val="left"/>
      <w:pPr>
        <w:ind w:left="8140" w:hanging="360"/>
      </w:pPr>
    </w:lvl>
  </w:abstractNum>
  <w:abstractNum w:abstractNumId="3" w15:restartNumberingAfterBreak="0">
    <w:nsid w:val="00000404"/>
    <w:multiLevelType w:val="multilevel"/>
    <w:tmpl w:val="FFFFFFFF"/>
    <w:lvl w:ilvl="0">
      <w:start w:val="3"/>
      <w:numFmt w:val="decimal"/>
      <w:lvlText w:val="%1"/>
      <w:lvlJc w:val="left"/>
      <w:pPr>
        <w:ind w:left="803" w:hanging="704"/>
      </w:pPr>
    </w:lvl>
    <w:lvl w:ilvl="1">
      <w:start w:val="2"/>
      <w:numFmt w:val="decimal"/>
      <w:lvlText w:val="%1.%2"/>
      <w:lvlJc w:val="left"/>
      <w:pPr>
        <w:ind w:left="803" w:hanging="704"/>
      </w:pPr>
      <w:rPr>
        <w:rFonts w:ascii="Times New Roman" w:hAnsi="Times New Roman" w:cs="Times New Roman"/>
        <w:b/>
        <w:bCs/>
        <w:i w:val="0"/>
        <w:iCs w:val="0"/>
        <w:spacing w:val="0"/>
        <w:w w:val="100"/>
        <w:sz w:val="24"/>
        <w:szCs w:val="24"/>
      </w:rPr>
    </w:lvl>
    <w:lvl w:ilvl="2">
      <w:start w:val="1"/>
      <w:numFmt w:val="decimal"/>
      <w:lvlText w:val="%1.%2.%3"/>
      <w:lvlJc w:val="left"/>
      <w:pPr>
        <w:ind w:left="820" w:hanging="720"/>
      </w:pPr>
      <w:rPr>
        <w:rFonts w:ascii="Times New Roman" w:hAnsi="Times New Roman" w:cs="Times New Roman"/>
        <w:b/>
        <w:bCs/>
        <w:i w:val="0"/>
        <w:iCs w:val="0"/>
        <w:spacing w:val="0"/>
        <w:w w:val="100"/>
        <w:sz w:val="24"/>
        <w:szCs w:val="24"/>
      </w:rPr>
    </w:lvl>
    <w:lvl w:ilvl="3">
      <w:numFmt w:val="bullet"/>
      <w:lvlText w:val=""/>
      <w:lvlJc w:val="left"/>
      <w:pPr>
        <w:ind w:left="1540" w:hanging="360"/>
      </w:pPr>
      <w:rPr>
        <w:rFonts w:ascii="Symbol" w:hAnsi="Symbol" w:cs="Symbol"/>
        <w:b w:val="0"/>
        <w:bCs w:val="0"/>
        <w:i w:val="0"/>
        <w:iCs w:val="0"/>
        <w:spacing w:val="0"/>
        <w:w w:val="100"/>
        <w:sz w:val="24"/>
        <w:szCs w:val="24"/>
      </w:rPr>
    </w:lvl>
    <w:lvl w:ilvl="4">
      <w:numFmt w:val="bullet"/>
      <w:lvlText w:val="•"/>
      <w:lvlJc w:val="left"/>
      <w:pPr>
        <w:ind w:left="3610" w:hanging="360"/>
      </w:pPr>
    </w:lvl>
    <w:lvl w:ilvl="5">
      <w:numFmt w:val="bullet"/>
      <w:lvlText w:val="•"/>
      <w:lvlJc w:val="left"/>
      <w:pPr>
        <w:ind w:left="4645" w:hanging="360"/>
      </w:pPr>
    </w:lvl>
    <w:lvl w:ilvl="6">
      <w:numFmt w:val="bullet"/>
      <w:lvlText w:val="•"/>
      <w:lvlJc w:val="left"/>
      <w:pPr>
        <w:ind w:left="5680" w:hanging="360"/>
      </w:pPr>
    </w:lvl>
    <w:lvl w:ilvl="7">
      <w:numFmt w:val="bullet"/>
      <w:lvlText w:val="•"/>
      <w:lvlJc w:val="left"/>
      <w:pPr>
        <w:ind w:left="6715" w:hanging="360"/>
      </w:pPr>
    </w:lvl>
    <w:lvl w:ilvl="8">
      <w:numFmt w:val="bullet"/>
      <w:lvlText w:val="•"/>
      <w:lvlJc w:val="left"/>
      <w:pPr>
        <w:ind w:left="7750" w:hanging="360"/>
      </w:pPr>
    </w:lvl>
  </w:abstractNum>
  <w:abstractNum w:abstractNumId="4" w15:restartNumberingAfterBreak="0">
    <w:nsid w:val="00000405"/>
    <w:multiLevelType w:val="multilevel"/>
    <w:tmpl w:val="FFFFFFFF"/>
    <w:lvl w:ilvl="0">
      <w:numFmt w:val="bullet"/>
      <w:lvlText w:val=""/>
      <w:lvlJc w:val="left"/>
      <w:pPr>
        <w:ind w:left="1540" w:hanging="360"/>
      </w:pPr>
      <w:rPr>
        <w:rFonts w:ascii="Symbol" w:hAnsi="Symbol" w:cs="Symbol"/>
        <w:b w:val="0"/>
        <w:bCs w:val="0"/>
        <w:i w:val="0"/>
        <w:iCs w:val="0"/>
        <w:spacing w:val="0"/>
        <w:w w:val="100"/>
        <w:sz w:val="24"/>
        <w:szCs w:val="24"/>
      </w:rPr>
    </w:lvl>
    <w:lvl w:ilvl="1">
      <w:numFmt w:val="bullet"/>
      <w:lvlText w:val="•"/>
      <w:lvlJc w:val="left"/>
      <w:pPr>
        <w:ind w:left="2368" w:hanging="360"/>
      </w:pPr>
    </w:lvl>
    <w:lvl w:ilvl="2">
      <w:numFmt w:val="bullet"/>
      <w:lvlText w:val="•"/>
      <w:lvlJc w:val="left"/>
      <w:pPr>
        <w:ind w:left="3196" w:hanging="360"/>
      </w:pPr>
    </w:lvl>
    <w:lvl w:ilvl="3">
      <w:numFmt w:val="bullet"/>
      <w:lvlText w:val="•"/>
      <w:lvlJc w:val="left"/>
      <w:pPr>
        <w:ind w:left="4024" w:hanging="360"/>
      </w:pPr>
    </w:lvl>
    <w:lvl w:ilvl="4">
      <w:numFmt w:val="bullet"/>
      <w:lvlText w:val="•"/>
      <w:lvlJc w:val="left"/>
      <w:pPr>
        <w:ind w:left="4852" w:hanging="360"/>
      </w:pPr>
    </w:lvl>
    <w:lvl w:ilvl="5">
      <w:numFmt w:val="bullet"/>
      <w:lvlText w:val="•"/>
      <w:lvlJc w:val="left"/>
      <w:pPr>
        <w:ind w:left="5680" w:hanging="360"/>
      </w:pPr>
    </w:lvl>
    <w:lvl w:ilvl="6">
      <w:numFmt w:val="bullet"/>
      <w:lvlText w:val="•"/>
      <w:lvlJc w:val="left"/>
      <w:pPr>
        <w:ind w:left="6508" w:hanging="360"/>
      </w:pPr>
    </w:lvl>
    <w:lvl w:ilvl="7">
      <w:numFmt w:val="bullet"/>
      <w:lvlText w:val="•"/>
      <w:lvlJc w:val="left"/>
      <w:pPr>
        <w:ind w:left="7336" w:hanging="360"/>
      </w:pPr>
    </w:lvl>
    <w:lvl w:ilvl="8">
      <w:numFmt w:val="bullet"/>
      <w:lvlText w:val="•"/>
      <w:lvlJc w:val="left"/>
      <w:pPr>
        <w:ind w:left="8164" w:hanging="360"/>
      </w:pPr>
    </w:lvl>
  </w:abstractNum>
  <w:abstractNum w:abstractNumId="5" w15:restartNumberingAfterBreak="0">
    <w:nsid w:val="00000406"/>
    <w:multiLevelType w:val="multilevel"/>
    <w:tmpl w:val="FFFFFFFF"/>
    <w:lvl w:ilvl="0">
      <w:numFmt w:val="bullet"/>
      <w:lvlText w:val=""/>
      <w:lvlJc w:val="left"/>
      <w:pPr>
        <w:ind w:left="1540" w:hanging="360"/>
      </w:pPr>
      <w:rPr>
        <w:rFonts w:ascii="Symbol" w:hAnsi="Symbol" w:cs="Symbol"/>
        <w:b w:val="0"/>
        <w:bCs w:val="0"/>
        <w:i w:val="0"/>
        <w:iCs w:val="0"/>
        <w:spacing w:val="0"/>
        <w:w w:val="100"/>
        <w:sz w:val="24"/>
        <w:szCs w:val="24"/>
      </w:rPr>
    </w:lvl>
    <w:lvl w:ilvl="1">
      <w:numFmt w:val="bullet"/>
      <w:lvlText w:val="•"/>
      <w:lvlJc w:val="left"/>
      <w:pPr>
        <w:ind w:left="2368" w:hanging="360"/>
      </w:pPr>
    </w:lvl>
    <w:lvl w:ilvl="2">
      <w:numFmt w:val="bullet"/>
      <w:lvlText w:val="•"/>
      <w:lvlJc w:val="left"/>
      <w:pPr>
        <w:ind w:left="3196" w:hanging="360"/>
      </w:pPr>
    </w:lvl>
    <w:lvl w:ilvl="3">
      <w:numFmt w:val="bullet"/>
      <w:lvlText w:val="•"/>
      <w:lvlJc w:val="left"/>
      <w:pPr>
        <w:ind w:left="4024" w:hanging="360"/>
      </w:pPr>
    </w:lvl>
    <w:lvl w:ilvl="4">
      <w:numFmt w:val="bullet"/>
      <w:lvlText w:val="•"/>
      <w:lvlJc w:val="left"/>
      <w:pPr>
        <w:ind w:left="4852" w:hanging="360"/>
      </w:pPr>
    </w:lvl>
    <w:lvl w:ilvl="5">
      <w:numFmt w:val="bullet"/>
      <w:lvlText w:val="•"/>
      <w:lvlJc w:val="left"/>
      <w:pPr>
        <w:ind w:left="5680" w:hanging="360"/>
      </w:pPr>
    </w:lvl>
    <w:lvl w:ilvl="6">
      <w:numFmt w:val="bullet"/>
      <w:lvlText w:val="•"/>
      <w:lvlJc w:val="left"/>
      <w:pPr>
        <w:ind w:left="6508" w:hanging="360"/>
      </w:pPr>
    </w:lvl>
    <w:lvl w:ilvl="7">
      <w:numFmt w:val="bullet"/>
      <w:lvlText w:val="•"/>
      <w:lvlJc w:val="left"/>
      <w:pPr>
        <w:ind w:left="7336" w:hanging="360"/>
      </w:pPr>
    </w:lvl>
    <w:lvl w:ilvl="8">
      <w:numFmt w:val="bullet"/>
      <w:lvlText w:val="•"/>
      <w:lvlJc w:val="left"/>
      <w:pPr>
        <w:ind w:left="8164" w:hanging="360"/>
      </w:pPr>
    </w:lvl>
  </w:abstractNum>
  <w:abstractNum w:abstractNumId="6" w15:restartNumberingAfterBreak="0">
    <w:nsid w:val="00000407"/>
    <w:multiLevelType w:val="multilevel"/>
    <w:tmpl w:val="FFFFFFFF"/>
    <w:lvl w:ilvl="0">
      <w:start w:val="3"/>
      <w:numFmt w:val="decimal"/>
      <w:lvlText w:val="%1"/>
      <w:lvlJc w:val="left"/>
      <w:pPr>
        <w:ind w:left="820" w:hanging="720"/>
      </w:pPr>
    </w:lvl>
    <w:lvl w:ilvl="1">
      <w:start w:val="2"/>
      <w:numFmt w:val="decimal"/>
      <w:lvlText w:val="%1.%2"/>
      <w:lvlJc w:val="left"/>
      <w:pPr>
        <w:ind w:left="820" w:hanging="720"/>
      </w:pPr>
    </w:lvl>
    <w:lvl w:ilvl="2">
      <w:start w:val="2"/>
      <w:numFmt w:val="decimal"/>
      <w:lvlText w:val="%1.%2.%3"/>
      <w:lvlJc w:val="left"/>
      <w:pPr>
        <w:ind w:left="820" w:hanging="720"/>
      </w:pPr>
      <w:rPr>
        <w:rFonts w:ascii="Times New Roman" w:hAnsi="Times New Roman" w:cs="Times New Roman"/>
        <w:b/>
        <w:bCs/>
        <w:i w:val="0"/>
        <w:iCs w:val="0"/>
        <w:spacing w:val="0"/>
        <w:w w:val="100"/>
        <w:sz w:val="24"/>
        <w:szCs w:val="24"/>
      </w:rPr>
    </w:lvl>
    <w:lvl w:ilvl="3">
      <w:numFmt w:val="bullet"/>
      <w:lvlText w:val=""/>
      <w:lvlJc w:val="left"/>
      <w:pPr>
        <w:ind w:left="1540" w:hanging="360"/>
      </w:pPr>
      <w:rPr>
        <w:rFonts w:ascii="Wingdings" w:hAnsi="Wingdings" w:cs="Wingdings"/>
        <w:b w:val="0"/>
        <w:bCs w:val="0"/>
        <w:i w:val="0"/>
        <w:iCs w:val="0"/>
        <w:spacing w:val="0"/>
        <w:w w:val="100"/>
        <w:sz w:val="24"/>
        <w:szCs w:val="24"/>
      </w:rPr>
    </w:lvl>
    <w:lvl w:ilvl="4">
      <w:numFmt w:val="bullet"/>
      <w:lvlText w:val="•"/>
      <w:lvlJc w:val="left"/>
      <w:pPr>
        <w:ind w:left="4300" w:hanging="360"/>
      </w:pPr>
    </w:lvl>
    <w:lvl w:ilvl="5">
      <w:numFmt w:val="bullet"/>
      <w:lvlText w:val="•"/>
      <w:lvlJc w:val="left"/>
      <w:pPr>
        <w:ind w:left="5220" w:hanging="360"/>
      </w:pPr>
    </w:lvl>
    <w:lvl w:ilvl="6">
      <w:numFmt w:val="bullet"/>
      <w:lvlText w:val="•"/>
      <w:lvlJc w:val="left"/>
      <w:pPr>
        <w:ind w:left="6140" w:hanging="360"/>
      </w:pPr>
    </w:lvl>
    <w:lvl w:ilvl="7">
      <w:numFmt w:val="bullet"/>
      <w:lvlText w:val="•"/>
      <w:lvlJc w:val="left"/>
      <w:pPr>
        <w:ind w:left="7060" w:hanging="360"/>
      </w:pPr>
    </w:lvl>
    <w:lvl w:ilvl="8">
      <w:numFmt w:val="bullet"/>
      <w:lvlText w:val="•"/>
      <w:lvlJc w:val="left"/>
      <w:pPr>
        <w:ind w:left="7980" w:hanging="360"/>
      </w:pPr>
    </w:lvl>
  </w:abstractNum>
  <w:abstractNum w:abstractNumId="7" w15:restartNumberingAfterBreak="0">
    <w:nsid w:val="00000408"/>
    <w:multiLevelType w:val="multilevel"/>
    <w:tmpl w:val="FFFFFFFF"/>
    <w:lvl w:ilvl="0">
      <w:start w:val="3"/>
      <w:numFmt w:val="decimal"/>
      <w:lvlText w:val="%1"/>
      <w:lvlJc w:val="left"/>
      <w:pPr>
        <w:ind w:left="820" w:hanging="720"/>
      </w:pPr>
    </w:lvl>
    <w:lvl w:ilvl="1">
      <w:start w:val="2"/>
      <w:numFmt w:val="decimal"/>
      <w:lvlText w:val="%1.%2"/>
      <w:lvlJc w:val="left"/>
      <w:pPr>
        <w:ind w:left="820" w:hanging="720"/>
      </w:pPr>
    </w:lvl>
    <w:lvl w:ilvl="2">
      <w:start w:val="3"/>
      <w:numFmt w:val="decimal"/>
      <w:lvlText w:val="%1.%2.%3"/>
      <w:lvlJc w:val="left"/>
      <w:pPr>
        <w:ind w:left="820" w:hanging="720"/>
      </w:pPr>
      <w:rPr>
        <w:rFonts w:ascii="Times New Roman" w:hAnsi="Times New Roman" w:cs="Times New Roman"/>
        <w:b/>
        <w:bCs/>
        <w:i w:val="0"/>
        <w:iCs w:val="0"/>
        <w:spacing w:val="0"/>
        <w:w w:val="100"/>
        <w:sz w:val="24"/>
        <w:szCs w:val="24"/>
      </w:rPr>
    </w:lvl>
    <w:lvl w:ilvl="3">
      <w:numFmt w:val="bullet"/>
      <w:lvlText w:val="•"/>
      <w:lvlJc w:val="left"/>
      <w:pPr>
        <w:ind w:left="3520" w:hanging="720"/>
      </w:pPr>
    </w:lvl>
    <w:lvl w:ilvl="4">
      <w:numFmt w:val="bullet"/>
      <w:lvlText w:val="•"/>
      <w:lvlJc w:val="left"/>
      <w:pPr>
        <w:ind w:left="4420" w:hanging="720"/>
      </w:pPr>
    </w:lvl>
    <w:lvl w:ilvl="5">
      <w:numFmt w:val="bullet"/>
      <w:lvlText w:val="•"/>
      <w:lvlJc w:val="left"/>
      <w:pPr>
        <w:ind w:left="5320" w:hanging="720"/>
      </w:pPr>
    </w:lvl>
    <w:lvl w:ilvl="6">
      <w:numFmt w:val="bullet"/>
      <w:lvlText w:val="•"/>
      <w:lvlJc w:val="left"/>
      <w:pPr>
        <w:ind w:left="6220" w:hanging="720"/>
      </w:pPr>
    </w:lvl>
    <w:lvl w:ilvl="7">
      <w:numFmt w:val="bullet"/>
      <w:lvlText w:val="•"/>
      <w:lvlJc w:val="left"/>
      <w:pPr>
        <w:ind w:left="7120" w:hanging="720"/>
      </w:pPr>
    </w:lvl>
    <w:lvl w:ilvl="8">
      <w:numFmt w:val="bullet"/>
      <w:lvlText w:val="•"/>
      <w:lvlJc w:val="left"/>
      <w:pPr>
        <w:ind w:left="8020" w:hanging="720"/>
      </w:pPr>
    </w:lvl>
  </w:abstractNum>
  <w:abstractNum w:abstractNumId="8" w15:restartNumberingAfterBreak="0">
    <w:nsid w:val="00000409"/>
    <w:multiLevelType w:val="multilevel"/>
    <w:tmpl w:val="FFFFFFFF"/>
    <w:lvl w:ilvl="0">
      <w:start w:val="3"/>
      <w:numFmt w:val="decimal"/>
      <w:lvlText w:val="%1"/>
      <w:lvlJc w:val="left"/>
      <w:pPr>
        <w:ind w:left="820" w:hanging="720"/>
      </w:pPr>
    </w:lvl>
    <w:lvl w:ilvl="1">
      <w:start w:val="2"/>
      <w:numFmt w:val="decimal"/>
      <w:lvlText w:val="%1.%2"/>
      <w:lvlJc w:val="left"/>
      <w:pPr>
        <w:ind w:left="820" w:hanging="720"/>
      </w:pPr>
    </w:lvl>
    <w:lvl w:ilvl="2">
      <w:start w:val="5"/>
      <w:numFmt w:val="decimal"/>
      <w:lvlText w:val="%1.%2.%3"/>
      <w:lvlJc w:val="left"/>
      <w:pPr>
        <w:ind w:left="820" w:hanging="720"/>
      </w:pPr>
      <w:rPr>
        <w:rFonts w:ascii="Times New Roman" w:hAnsi="Times New Roman" w:cs="Times New Roman"/>
        <w:b/>
        <w:bCs/>
        <w:i w:val="0"/>
        <w:iCs w:val="0"/>
        <w:spacing w:val="0"/>
        <w:w w:val="100"/>
        <w:sz w:val="24"/>
        <w:szCs w:val="24"/>
      </w:rPr>
    </w:lvl>
    <w:lvl w:ilvl="3">
      <w:numFmt w:val="bullet"/>
      <w:lvlText w:val=""/>
      <w:lvlJc w:val="left"/>
      <w:pPr>
        <w:ind w:left="1540" w:hanging="360"/>
      </w:pPr>
      <w:rPr>
        <w:rFonts w:ascii="Symbol" w:hAnsi="Symbol" w:cs="Symbol"/>
        <w:b w:val="0"/>
        <w:bCs w:val="0"/>
        <w:i w:val="0"/>
        <w:iCs w:val="0"/>
        <w:spacing w:val="0"/>
        <w:w w:val="100"/>
        <w:sz w:val="24"/>
        <w:szCs w:val="24"/>
      </w:rPr>
    </w:lvl>
    <w:lvl w:ilvl="4">
      <w:numFmt w:val="bullet"/>
      <w:lvlText w:val="•"/>
      <w:lvlJc w:val="left"/>
      <w:pPr>
        <w:ind w:left="4300" w:hanging="360"/>
      </w:pPr>
    </w:lvl>
    <w:lvl w:ilvl="5">
      <w:numFmt w:val="bullet"/>
      <w:lvlText w:val="•"/>
      <w:lvlJc w:val="left"/>
      <w:pPr>
        <w:ind w:left="5220" w:hanging="360"/>
      </w:pPr>
    </w:lvl>
    <w:lvl w:ilvl="6">
      <w:numFmt w:val="bullet"/>
      <w:lvlText w:val="•"/>
      <w:lvlJc w:val="left"/>
      <w:pPr>
        <w:ind w:left="6140" w:hanging="360"/>
      </w:pPr>
    </w:lvl>
    <w:lvl w:ilvl="7">
      <w:numFmt w:val="bullet"/>
      <w:lvlText w:val="•"/>
      <w:lvlJc w:val="left"/>
      <w:pPr>
        <w:ind w:left="7060" w:hanging="360"/>
      </w:pPr>
    </w:lvl>
    <w:lvl w:ilvl="8">
      <w:numFmt w:val="bullet"/>
      <w:lvlText w:val="•"/>
      <w:lvlJc w:val="left"/>
      <w:pPr>
        <w:ind w:left="7980" w:hanging="360"/>
      </w:pPr>
    </w:lvl>
  </w:abstractNum>
  <w:abstractNum w:abstractNumId="9" w15:restartNumberingAfterBreak="0">
    <w:nsid w:val="0000040A"/>
    <w:multiLevelType w:val="multilevel"/>
    <w:tmpl w:val="FFFFFFFF"/>
    <w:lvl w:ilvl="0">
      <w:numFmt w:val="bullet"/>
      <w:lvlText w:val=""/>
      <w:lvlJc w:val="left"/>
      <w:pPr>
        <w:ind w:left="1540" w:hanging="360"/>
      </w:pPr>
      <w:rPr>
        <w:rFonts w:ascii="Symbol" w:hAnsi="Symbol" w:cs="Symbol"/>
        <w:b w:val="0"/>
        <w:bCs w:val="0"/>
        <w:i w:val="0"/>
        <w:iCs w:val="0"/>
        <w:spacing w:val="0"/>
        <w:w w:val="100"/>
        <w:sz w:val="24"/>
        <w:szCs w:val="24"/>
      </w:rPr>
    </w:lvl>
    <w:lvl w:ilvl="1">
      <w:numFmt w:val="bullet"/>
      <w:lvlText w:val="•"/>
      <w:lvlJc w:val="left"/>
      <w:pPr>
        <w:ind w:left="2368" w:hanging="360"/>
      </w:pPr>
    </w:lvl>
    <w:lvl w:ilvl="2">
      <w:numFmt w:val="bullet"/>
      <w:lvlText w:val="•"/>
      <w:lvlJc w:val="left"/>
      <w:pPr>
        <w:ind w:left="3196" w:hanging="360"/>
      </w:pPr>
    </w:lvl>
    <w:lvl w:ilvl="3">
      <w:numFmt w:val="bullet"/>
      <w:lvlText w:val="•"/>
      <w:lvlJc w:val="left"/>
      <w:pPr>
        <w:ind w:left="4024" w:hanging="360"/>
      </w:pPr>
    </w:lvl>
    <w:lvl w:ilvl="4">
      <w:numFmt w:val="bullet"/>
      <w:lvlText w:val="•"/>
      <w:lvlJc w:val="left"/>
      <w:pPr>
        <w:ind w:left="4852" w:hanging="360"/>
      </w:pPr>
    </w:lvl>
    <w:lvl w:ilvl="5">
      <w:numFmt w:val="bullet"/>
      <w:lvlText w:val="•"/>
      <w:lvlJc w:val="left"/>
      <w:pPr>
        <w:ind w:left="5680" w:hanging="360"/>
      </w:pPr>
    </w:lvl>
    <w:lvl w:ilvl="6">
      <w:numFmt w:val="bullet"/>
      <w:lvlText w:val="•"/>
      <w:lvlJc w:val="left"/>
      <w:pPr>
        <w:ind w:left="6508" w:hanging="360"/>
      </w:pPr>
    </w:lvl>
    <w:lvl w:ilvl="7">
      <w:numFmt w:val="bullet"/>
      <w:lvlText w:val="•"/>
      <w:lvlJc w:val="left"/>
      <w:pPr>
        <w:ind w:left="7336" w:hanging="360"/>
      </w:pPr>
    </w:lvl>
    <w:lvl w:ilvl="8">
      <w:numFmt w:val="bullet"/>
      <w:lvlText w:val="•"/>
      <w:lvlJc w:val="left"/>
      <w:pPr>
        <w:ind w:left="8164" w:hanging="360"/>
      </w:pPr>
    </w:lvl>
  </w:abstractNum>
  <w:abstractNum w:abstractNumId="10" w15:restartNumberingAfterBreak="0">
    <w:nsid w:val="0000040B"/>
    <w:multiLevelType w:val="multilevel"/>
    <w:tmpl w:val="FFFFFFFF"/>
    <w:lvl w:ilvl="0">
      <w:start w:val="3"/>
      <w:numFmt w:val="decimal"/>
      <w:lvlText w:val="%1"/>
      <w:lvlJc w:val="left"/>
      <w:pPr>
        <w:ind w:left="820" w:hanging="720"/>
      </w:pPr>
    </w:lvl>
    <w:lvl w:ilvl="1">
      <w:start w:val="2"/>
      <w:numFmt w:val="decimal"/>
      <w:lvlText w:val="%1.%2"/>
      <w:lvlJc w:val="left"/>
      <w:pPr>
        <w:ind w:left="820" w:hanging="720"/>
      </w:pPr>
    </w:lvl>
    <w:lvl w:ilvl="2">
      <w:start w:val="7"/>
      <w:numFmt w:val="decimal"/>
      <w:lvlText w:val="%1.%2.%3"/>
      <w:lvlJc w:val="left"/>
      <w:pPr>
        <w:ind w:left="820" w:hanging="720"/>
      </w:pPr>
      <w:rPr>
        <w:rFonts w:ascii="Times New Roman" w:hAnsi="Times New Roman" w:cs="Times New Roman"/>
        <w:b/>
        <w:bCs/>
        <w:i w:val="0"/>
        <w:iCs w:val="0"/>
        <w:spacing w:val="0"/>
        <w:w w:val="100"/>
        <w:sz w:val="24"/>
        <w:szCs w:val="24"/>
      </w:rPr>
    </w:lvl>
    <w:lvl w:ilvl="3">
      <w:numFmt w:val="bullet"/>
      <w:lvlText w:val=""/>
      <w:lvlJc w:val="left"/>
      <w:pPr>
        <w:ind w:left="1540" w:hanging="360"/>
      </w:pPr>
      <w:rPr>
        <w:rFonts w:ascii="Symbol" w:hAnsi="Symbol" w:cs="Symbol"/>
        <w:b w:val="0"/>
        <w:bCs w:val="0"/>
        <w:i w:val="0"/>
        <w:iCs w:val="0"/>
        <w:spacing w:val="0"/>
        <w:w w:val="100"/>
        <w:sz w:val="24"/>
        <w:szCs w:val="24"/>
      </w:rPr>
    </w:lvl>
    <w:lvl w:ilvl="4">
      <w:numFmt w:val="bullet"/>
      <w:lvlText w:val="•"/>
      <w:lvlJc w:val="left"/>
      <w:pPr>
        <w:ind w:left="3610" w:hanging="360"/>
      </w:pPr>
    </w:lvl>
    <w:lvl w:ilvl="5">
      <w:numFmt w:val="bullet"/>
      <w:lvlText w:val="•"/>
      <w:lvlJc w:val="left"/>
      <w:pPr>
        <w:ind w:left="4645" w:hanging="360"/>
      </w:pPr>
    </w:lvl>
    <w:lvl w:ilvl="6">
      <w:numFmt w:val="bullet"/>
      <w:lvlText w:val="•"/>
      <w:lvlJc w:val="left"/>
      <w:pPr>
        <w:ind w:left="5680" w:hanging="360"/>
      </w:pPr>
    </w:lvl>
    <w:lvl w:ilvl="7">
      <w:numFmt w:val="bullet"/>
      <w:lvlText w:val="•"/>
      <w:lvlJc w:val="left"/>
      <w:pPr>
        <w:ind w:left="6715" w:hanging="360"/>
      </w:pPr>
    </w:lvl>
    <w:lvl w:ilvl="8">
      <w:numFmt w:val="bullet"/>
      <w:lvlText w:val="•"/>
      <w:lvlJc w:val="left"/>
      <w:pPr>
        <w:ind w:left="7750" w:hanging="360"/>
      </w:pPr>
    </w:lvl>
  </w:abstractNum>
  <w:abstractNum w:abstractNumId="11" w15:restartNumberingAfterBreak="0">
    <w:nsid w:val="0000040C"/>
    <w:multiLevelType w:val="multilevel"/>
    <w:tmpl w:val="530A3500"/>
    <w:lvl w:ilvl="0">
      <w:numFmt w:val="bullet"/>
      <w:lvlText w:val=""/>
      <w:lvlJc w:val="left"/>
      <w:pPr>
        <w:ind w:left="1540" w:hanging="360"/>
      </w:pPr>
      <w:rPr>
        <w:rFonts w:ascii="Symbol" w:hAnsi="Symbol" w:cs="Symbol"/>
        <w:b w:val="0"/>
        <w:bCs w:val="0"/>
        <w:i w:val="0"/>
        <w:iCs w:val="0"/>
        <w:spacing w:val="0"/>
        <w:w w:val="100"/>
        <w:sz w:val="24"/>
        <w:szCs w:val="24"/>
      </w:rPr>
    </w:lvl>
    <w:lvl w:ilvl="1">
      <w:numFmt w:val="bullet"/>
      <w:lvlText w:val="o"/>
      <w:lvlJc w:val="left"/>
      <w:pPr>
        <w:ind w:left="1900" w:hanging="360"/>
      </w:pPr>
      <w:rPr>
        <w:rFonts w:ascii="Courier New" w:hAnsi="Courier New" w:cs="Courier New"/>
        <w:b w:val="0"/>
        <w:bCs w:val="0"/>
        <w:i w:val="0"/>
        <w:iCs w:val="0"/>
        <w:spacing w:val="0"/>
        <w:w w:val="100"/>
        <w:sz w:val="24"/>
        <w:szCs w:val="24"/>
      </w:rPr>
    </w:lvl>
    <w:lvl w:ilvl="2">
      <w:start w:val="1"/>
      <w:numFmt w:val="bullet"/>
      <w:lvlText w:val="o"/>
      <w:lvlJc w:val="left"/>
      <w:pPr>
        <w:ind w:left="2820" w:hanging="360"/>
      </w:pPr>
      <w:rPr>
        <w:rFonts w:ascii="Courier New" w:hAnsi="Courier New" w:cs="Courier New" w:hint="default"/>
      </w:rPr>
    </w:lvl>
    <w:lvl w:ilvl="3">
      <w:numFmt w:val="bullet"/>
      <w:lvlText w:val="•"/>
      <w:lvlJc w:val="left"/>
      <w:pPr>
        <w:ind w:left="3740" w:hanging="360"/>
      </w:pPr>
    </w:lvl>
    <w:lvl w:ilvl="4">
      <w:numFmt w:val="bullet"/>
      <w:lvlText w:val="•"/>
      <w:lvlJc w:val="left"/>
      <w:pPr>
        <w:ind w:left="4660" w:hanging="360"/>
      </w:pPr>
    </w:lvl>
    <w:lvl w:ilvl="5">
      <w:numFmt w:val="bullet"/>
      <w:lvlText w:val="•"/>
      <w:lvlJc w:val="left"/>
      <w:pPr>
        <w:ind w:left="5580" w:hanging="360"/>
      </w:pPr>
    </w:lvl>
    <w:lvl w:ilvl="6">
      <w:numFmt w:val="bullet"/>
      <w:lvlText w:val="•"/>
      <w:lvlJc w:val="left"/>
      <w:pPr>
        <w:ind w:left="6500" w:hanging="360"/>
      </w:pPr>
    </w:lvl>
    <w:lvl w:ilvl="7">
      <w:numFmt w:val="bullet"/>
      <w:lvlText w:val="•"/>
      <w:lvlJc w:val="left"/>
      <w:pPr>
        <w:ind w:left="7420" w:hanging="360"/>
      </w:pPr>
    </w:lvl>
    <w:lvl w:ilvl="8">
      <w:numFmt w:val="bullet"/>
      <w:lvlText w:val="•"/>
      <w:lvlJc w:val="left"/>
      <w:pPr>
        <w:ind w:left="8340" w:hanging="360"/>
      </w:pPr>
    </w:lvl>
  </w:abstractNum>
  <w:abstractNum w:abstractNumId="12" w15:restartNumberingAfterBreak="0">
    <w:nsid w:val="0000040D"/>
    <w:multiLevelType w:val="multilevel"/>
    <w:tmpl w:val="FFFFFFFF"/>
    <w:lvl w:ilvl="0">
      <w:numFmt w:val="bullet"/>
      <w:lvlText w:val=""/>
      <w:lvlJc w:val="left"/>
      <w:pPr>
        <w:ind w:left="1271" w:hanging="360"/>
      </w:pPr>
      <w:rPr>
        <w:rFonts w:ascii="Symbol" w:hAnsi="Symbol" w:cs="Symbol"/>
        <w:b w:val="0"/>
        <w:bCs w:val="0"/>
        <w:i w:val="0"/>
        <w:iCs w:val="0"/>
        <w:spacing w:val="0"/>
        <w:w w:val="100"/>
        <w:sz w:val="24"/>
        <w:szCs w:val="24"/>
      </w:rPr>
    </w:lvl>
    <w:lvl w:ilvl="1">
      <w:numFmt w:val="bullet"/>
      <w:lvlText w:val="•"/>
      <w:lvlJc w:val="left"/>
      <w:pPr>
        <w:ind w:left="2134" w:hanging="360"/>
      </w:pPr>
    </w:lvl>
    <w:lvl w:ilvl="2">
      <w:numFmt w:val="bullet"/>
      <w:lvlText w:val="•"/>
      <w:lvlJc w:val="left"/>
      <w:pPr>
        <w:ind w:left="2988" w:hanging="360"/>
      </w:pPr>
    </w:lvl>
    <w:lvl w:ilvl="3">
      <w:numFmt w:val="bullet"/>
      <w:lvlText w:val="•"/>
      <w:lvlJc w:val="left"/>
      <w:pPr>
        <w:ind w:left="3842" w:hanging="360"/>
      </w:pPr>
    </w:lvl>
    <w:lvl w:ilvl="4">
      <w:numFmt w:val="bullet"/>
      <w:lvlText w:val="•"/>
      <w:lvlJc w:val="left"/>
      <w:pPr>
        <w:ind w:left="4696" w:hanging="360"/>
      </w:pPr>
    </w:lvl>
    <w:lvl w:ilvl="5">
      <w:numFmt w:val="bullet"/>
      <w:lvlText w:val="•"/>
      <w:lvlJc w:val="left"/>
      <w:pPr>
        <w:ind w:left="5550" w:hanging="360"/>
      </w:pPr>
    </w:lvl>
    <w:lvl w:ilvl="6">
      <w:numFmt w:val="bullet"/>
      <w:lvlText w:val="•"/>
      <w:lvlJc w:val="left"/>
      <w:pPr>
        <w:ind w:left="6404" w:hanging="360"/>
      </w:pPr>
    </w:lvl>
    <w:lvl w:ilvl="7">
      <w:numFmt w:val="bullet"/>
      <w:lvlText w:val="•"/>
      <w:lvlJc w:val="left"/>
      <w:pPr>
        <w:ind w:left="7258" w:hanging="360"/>
      </w:pPr>
    </w:lvl>
    <w:lvl w:ilvl="8">
      <w:numFmt w:val="bullet"/>
      <w:lvlText w:val="•"/>
      <w:lvlJc w:val="left"/>
      <w:pPr>
        <w:ind w:left="8112" w:hanging="360"/>
      </w:pPr>
    </w:lvl>
  </w:abstractNum>
  <w:abstractNum w:abstractNumId="13" w15:restartNumberingAfterBreak="0">
    <w:nsid w:val="053876A6"/>
    <w:multiLevelType w:val="hybridMultilevel"/>
    <w:tmpl w:val="A7201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015BC1"/>
    <w:multiLevelType w:val="hybridMultilevel"/>
    <w:tmpl w:val="34F85AB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55F1096"/>
    <w:multiLevelType w:val="hybridMultilevel"/>
    <w:tmpl w:val="14CC38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8E1A1A"/>
    <w:multiLevelType w:val="hybridMultilevel"/>
    <w:tmpl w:val="0706C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F62B08"/>
    <w:multiLevelType w:val="hybridMultilevel"/>
    <w:tmpl w:val="215AC1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1F6736"/>
    <w:multiLevelType w:val="hybridMultilevel"/>
    <w:tmpl w:val="AA3AE2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BB38D5"/>
    <w:multiLevelType w:val="hybridMultilevel"/>
    <w:tmpl w:val="CB70162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6CF06F0"/>
    <w:multiLevelType w:val="hybridMultilevel"/>
    <w:tmpl w:val="C1C8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86488"/>
    <w:multiLevelType w:val="hybridMultilevel"/>
    <w:tmpl w:val="2570A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710FCD"/>
    <w:multiLevelType w:val="multilevel"/>
    <w:tmpl w:val="A812451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1EB4C4F"/>
    <w:multiLevelType w:val="hybridMultilevel"/>
    <w:tmpl w:val="62C0E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C5399B"/>
    <w:multiLevelType w:val="hybridMultilevel"/>
    <w:tmpl w:val="DD8A9D7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B505F6"/>
    <w:multiLevelType w:val="hybridMultilevel"/>
    <w:tmpl w:val="70CEF30C"/>
    <w:lvl w:ilvl="0" w:tplc="83D652FE">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3A353BD7"/>
    <w:multiLevelType w:val="hybridMultilevel"/>
    <w:tmpl w:val="B0B6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02364"/>
    <w:multiLevelType w:val="hybridMultilevel"/>
    <w:tmpl w:val="B21A13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A32282"/>
    <w:multiLevelType w:val="hybridMultilevel"/>
    <w:tmpl w:val="1456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A4733"/>
    <w:multiLevelType w:val="multilevel"/>
    <w:tmpl w:val="5F2225B6"/>
    <w:lvl w:ilvl="0">
      <w:start w:val="3"/>
      <w:numFmt w:val="decimal"/>
      <w:lvlText w:val="%1"/>
      <w:lvlJc w:val="left"/>
      <w:pPr>
        <w:ind w:left="820" w:hanging="720"/>
      </w:pPr>
    </w:lvl>
    <w:lvl w:ilvl="1">
      <w:start w:val="2"/>
      <w:numFmt w:val="decimal"/>
      <w:lvlText w:val="%1.%2"/>
      <w:lvlJc w:val="left"/>
      <w:pPr>
        <w:ind w:left="820" w:hanging="720"/>
      </w:pPr>
    </w:lvl>
    <w:lvl w:ilvl="2">
      <w:start w:val="5"/>
      <w:numFmt w:val="decimal"/>
      <w:lvlText w:val="%1.%2.%3"/>
      <w:lvlJc w:val="left"/>
      <w:pPr>
        <w:ind w:left="820" w:hanging="720"/>
      </w:pPr>
      <w:rPr>
        <w:rFonts w:ascii="Times New Roman" w:hAnsi="Times New Roman" w:cs="Times New Roman"/>
        <w:b/>
        <w:bCs/>
        <w:i w:val="0"/>
        <w:iCs w:val="0"/>
        <w:spacing w:val="0"/>
        <w:w w:val="100"/>
        <w:sz w:val="24"/>
        <w:szCs w:val="24"/>
      </w:rPr>
    </w:lvl>
    <w:lvl w:ilvl="3">
      <w:start w:val="1"/>
      <w:numFmt w:val="bullet"/>
      <w:lvlText w:val=""/>
      <w:lvlJc w:val="left"/>
      <w:pPr>
        <w:ind w:left="1540" w:hanging="360"/>
      </w:pPr>
      <w:rPr>
        <w:rFonts w:ascii="Symbol" w:hAnsi="Symbol" w:hint="default"/>
      </w:rPr>
    </w:lvl>
    <w:lvl w:ilvl="4">
      <w:numFmt w:val="bullet"/>
      <w:lvlText w:val="•"/>
      <w:lvlJc w:val="left"/>
      <w:pPr>
        <w:ind w:left="4300" w:hanging="360"/>
      </w:pPr>
    </w:lvl>
    <w:lvl w:ilvl="5">
      <w:numFmt w:val="bullet"/>
      <w:lvlText w:val="•"/>
      <w:lvlJc w:val="left"/>
      <w:pPr>
        <w:ind w:left="5220" w:hanging="360"/>
      </w:pPr>
    </w:lvl>
    <w:lvl w:ilvl="6">
      <w:numFmt w:val="bullet"/>
      <w:lvlText w:val="•"/>
      <w:lvlJc w:val="left"/>
      <w:pPr>
        <w:ind w:left="6140" w:hanging="360"/>
      </w:pPr>
    </w:lvl>
    <w:lvl w:ilvl="7">
      <w:numFmt w:val="bullet"/>
      <w:lvlText w:val="•"/>
      <w:lvlJc w:val="left"/>
      <w:pPr>
        <w:ind w:left="7060" w:hanging="360"/>
      </w:pPr>
    </w:lvl>
    <w:lvl w:ilvl="8">
      <w:numFmt w:val="bullet"/>
      <w:lvlText w:val="•"/>
      <w:lvlJc w:val="left"/>
      <w:pPr>
        <w:ind w:left="7980" w:hanging="360"/>
      </w:pPr>
    </w:lvl>
  </w:abstractNum>
  <w:abstractNum w:abstractNumId="30" w15:restartNumberingAfterBreak="0">
    <w:nsid w:val="5D8E525B"/>
    <w:multiLevelType w:val="hybridMultilevel"/>
    <w:tmpl w:val="89D6717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1" w15:restartNumberingAfterBreak="0">
    <w:nsid w:val="5EB05F92"/>
    <w:multiLevelType w:val="hybridMultilevel"/>
    <w:tmpl w:val="560C645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1054B6F"/>
    <w:multiLevelType w:val="hybridMultilevel"/>
    <w:tmpl w:val="71EC0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76BC4"/>
    <w:multiLevelType w:val="hybridMultilevel"/>
    <w:tmpl w:val="04CC5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90A41"/>
    <w:multiLevelType w:val="hybridMultilevel"/>
    <w:tmpl w:val="1FB26236"/>
    <w:lvl w:ilvl="0" w:tplc="83D652FE">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65F541B9"/>
    <w:multiLevelType w:val="hybridMultilevel"/>
    <w:tmpl w:val="2D86D6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A41D2E"/>
    <w:multiLevelType w:val="hybridMultilevel"/>
    <w:tmpl w:val="DF54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498194">
    <w:abstractNumId w:val="32"/>
  </w:num>
  <w:num w:numId="2" w16cid:durableId="859466261">
    <w:abstractNumId w:val="36"/>
  </w:num>
  <w:num w:numId="3" w16cid:durableId="529607466">
    <w:abstractNumId w:val="31"/>
  </w:num>
  <w:num w:numId="4" w16cid:durableId="1039745744">
    <w:abstractNumId w:val="24"/>
  </w:num>
  <w:num w:numId="5" w16cid:durableId="450974952">
    <w:abstractNumId w:val="22"/>
  </w:num>
  <w:num w:numId="6" w16cid:durableId="1595480697">
    <w:abstractNumId w:val="27"/>
  </w:num>
  <w:num w:numId="7" w16cid:durableId="1170946262">
    <w:abstractNumId w:val="14"/>
  </w:num>
  <w:num w:numId="8" w16cid:durableId="364871378">
    <w:abstractNumId w:val="17"/>
  </w:num>
  <w:num w:numId="9" w16cid:durableId="375541770">
    <w:abstractNumId w:val="35"/>
  </w:num>
  <w:num w:numId="10" w16cid:durableId="49693403">
    <w:abstractNumId w:val="13"/>
  </w:num>
  <w:num w:numId="11" w16cid:durableId="2114738731">
    <w:abstractNumId w:val="19"/>
  </w:num>
  <w:num w:numId="12" w16cid:durableId="1308432315">
    <w:abstractNumId w:val="16"/>
  </w:num>
  <w:num w:numId="13" w16cid:durableId="1055399071">
    <w:abstractNumId w:val="28"/>
  </w:num>
  <w:num w:numId="14" w16cid:durableId="1014212">
    <w:abstractNumId w:val="18"/>
  </w:num>
  <w:num w:numId="15" w16cid:durableId="285619440">
    <w:abstractNumId w:val="20"/>
  </w:num>
  <w:num w:numId="16" w16cid:durableId="1477065842">
    <w:abstractNumId w:val="15"/>
  </w:num>
  <w:num w:numId="17" w16cid:durableId="818225793">
    <w:abstractNumId w:val="33"/>
  </w:num>
  <w:num w:numId="18" w16cid:durableId="380522274">
    <w:abstractNumId w:val="34"/>
  </w:num>
  <w:num w:numId="19" w16cid:durableId="1666519335">
    <w:abstractNumId w:val="25"/>
  </w:num>
  <w:num w:numId="20" w16cid:durableId="847716683">
    <w:abstractNumId w:val="0"/>
  </w:num>
  <w:num w:numId="21" w16cid:durableId="1508011076">
    <w:abstractNumId w:val="26"/>
  </w:num>
  <w:num w:numId="22" w16cid:durableId="167408724">
    <w:abstractNumId w:val="12"/>
  </w:num>
  <w:num w:numId="23" w16cid:durableId="2124109380">
    <w:abstractNumId w:val="11"/>
  </w:num>
  <w:num w:numId="24" w16cid:durableId="666447721">
    <w:abstractNumId w:val="10"/>
  </w:num>
  <w:num w:numId="25" w16cid:durableId="348721250">
    <w:abstractNumId w:val="9"/>
  </w:num>
  <w:num w:numId="26" w16cid:durableId="776606616">
    <w:abstractNumId w:val="8"/>
  </w:num>
  <w:num w:numId="27" w16cid:durableId="1917855291">
    <w:abstractNumId w:val="7"/>
  </w:num>
  <w:num w:numId="28" w16cid:durableId="1535579092">
    <w:abstractNumId w:val="6"/>
  </w:num>
  <w:num w:numId="29" w16cid:durableId="1800146820">
    <w:abstractNumId w:val="5"/>
  </w:num>
  <w:num w:numId="30" w16cid:durableId="2094861499">
    <w:abstractNumId w:val="4"/>
  </w:num>
  <w:num w:numId="31" w16cid:durableId="77680952">
    <w:abstractNumId w:val="3"/>
  </w:num>
  <w:num w:numId="32" w16cid:durableId="201793953">
    <w:abstractNumId w:val="2"/>
  </w:num>
  <w:num w:numId="33" w16cid:durableId="1206940903">
    <w:abstractNumId w:val="1"/>
  </w:num>
  <w:num w:numId="34" w16cid:durableId="152797044">
    <w:abstractNumId w:val="30"/>
  </w:num>
  <w:num w:numId="35" w16cid:durableId="689843817">
    <w:abstractNumId w:val="29"/>
  </w:num>
  <w:num w:numId="36" w16cid:durableId="1904174868">
    <w:abstractNumId w:val="23"/>
  </w:num>
  <w:num w:numId="37" w16cid:durableId="8283994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D1"/>
    <w:rsid w:val="000378CC"/>
    <w:rsid w:val="00066BA7"/>
    <w:rsid w:val="000820DF"/>
    <w:rsid w:val="00082A79"/>
    <w:rsid w:val="0009571C"/>
    <w:rsid w:val="00096DB1"/>
    <w:rsid w:val="000A0B73"/>
    <w:rsid w:val="000B10BE"/>
    <w:rsid w:val="000B3E02"/>
    <w:rsid w:val="000B50D1"/>
    <w:rsid w:val="000C1676"/>
    <w:rsid w:val="000C1C8B"/>
    <w:rsid w:val="000C23F6"/>
    <w:rsid w:val="000C487C"/>
    <w:rsid w:val="000C54AD"/>
    <w:rsid w:val="000D03D8"/>
    <w:rsid w:val="000E310E"/>
    <w:rsid w:val="000E40DE"/>
    <w:rsid w:val="000F6C85"/>
    <w:rsid w:val="000F6D32"/>
    <w:rsid w:val="001118E3"/>
    <w:rsid w:val="00120906"/>
    <w:rsid w:val="001247DA"/>
    <w:rsid w:val="00133EC7"/>
    <w:rsid w:val="00146666"/>
    <w:rsid w:val="001509FD"/>
    <w:rsid w:val="001559E3"/>
    <w:rsid w:val="00167FDE"/>
    <w:rsid w:val="00171DEF"/>
    <w:rsid w:val="001B1E70"/>
    <w:rsid w:val="001B54A4"/>
    <w:rsid w:val="001C2672"/>
    <w:rsid w:val="001D6C5E"/>
    <w:rsid w:val="001D73A3"/>
    <w:rsid w:val="00232086"/>
    <w:rsid w:val="00273E08"/>
    <w:rsid w:val="002776AD"/>
    <w:rsid w:val="00287277"/>
    <w:rsid w:val="002A3CBA"/>
    <w:rsid w:val="002B47C7"/>
    <w:rsid w:val="002B4C1B"/>
    <w:rsid w:val="002C3286"/>
    <w:rsid w:val="002C751A"/>
    <w:rsid w:val="00311109"/>
    <w:rsid w:val="00314FCE"/>
    <w:rsid w:val="00355FD6"/>
    <w:rsid w:val="00360C5E"/>
    <w:rsid w:val="00385C29"/>
    <w:rsid w:val="003A0909"/>
    <w:rsid w:val="003D38C0"/>
    <w:rsid w:val="003D6758"/>
    <w:rsid w:val="003E43FC"/>
    <w:rsid w:val="00401ED2"/>
    <w:rsid w:val="00411808"/>
    <w:rsid w:val="00425D03"/>
    <w:rsid w:val="004532E5"/>
    <w:rsid w:val="0045459B"/>
    <w:rsid w:val="0046147A"/>
    <w:rsid w:val="00461F28"/>
    <w:rsid w:val="004763F4"/>
    <w:rsid w:val="004A3741"/>
    <w:rsid w:val="004D2E41"/>
    <w:rsid w:val="004E4157"/>
    <w:rsid w:val="004E7186"/>
    <w:rsid w:val="004F0A81"/>
    <w:rsid w:val="004F1CA9"/>
    <w:rsid w:val="004F7B7C"/>
    <w:rsid w:val="00504641"/>
    <w:rsid w:val="00504E0E"/>
    <w:rsid w:val="00506388"/>
    <w:rsid w:val="00523039"/>
    <w:rsid w:val="00532E27"/>
    <w:rsid w:val="00535243"/>
    <w:rsid w:val="005606BE"/>
    <w:rsid w:val="00564BF9"/>
    <w:rsid w:val="00585D29"/>
    <w:rsid w:val="005B7FC8"/>
    <w:rsid w:val="005C7F11"/>
    <w:rsid w:val="00605BEA"/>
    <w:rsid w:val="00630908"/>
    <w:rsid w:val="00631F40"/>
    <w:rsid w:val="0065658C"/>
    <w:rsid w:val="00684B4B"/>
    <w:rsid w:val="006B09FC"/>
    <w:rsid w:val="006C76BA"/>
    <w:rsid w:val="00700C14"/>
    <w:rsid w:val="00710FAC"/>
    <w:rsid w:val="00717FEE"/>
    <w:rsid w:val="00737FD8"/>
    <w:rsid w:val="00761F90"/>
    <w:rsid w:val="0078062E"/>
    <w:rsid w:val="00786F0D"/>
    <w:rsid w:val="007874C8"/>
    <w:rsid w:val="007903FD"/>
    <w:rsid w:val="007A0DD7"/>
    <w:rsid w:val="007A3277"/>
    <w:rsid w:val="007A4641"/>
    <w:rsid w:val="007C22FC"/>
    <w:rsid w:val="007D7841"/>
    <w:rsid w:val="007E732B"/>
    <w:rsid w:val="007F21DB"/>
    <w:rsid w:val="00840DCA"/>
    <w:rsid w:val="00843B06"/>
    <w:rsid w:val="00843EA2"/>
    <w:rsid w:val="00852196"/>
    <w:rsid w:val="0088275A"/>
    <w:rsid w:val="008A0A21"/>
    <w:rsid w:val="008A4067"/>
    <w:rsid w:val="008D14AB"/>
    <w:rsid w:val="0090353F"/>
    <w:rsid w:val="009123AB"/>
    <w:rsid w:val="0091715C"/>
    <w:rsid w:val="00927071"/>
    <w:rsid w:val="00932511"/>
    <w:rsid w:val="00957919"/>
    <w:rsid w:val="00960D75"/>
    <w:rsid w:val="009760CF"/>
    <w:rsid w:val="0097788C"/>
    <w:rsid w:val="00981668"/>
    <w:rsid w:val="00984360"/>
    <w:rsid w:val="00985CA8"/>
    <w:rsid w:val="009C6648"/>
    <w:rsid w:val="009C7945"/>
    <w:rsid w:val="009D6015"/>
    <w:rsid w:val="009D7936"/>
    <w:rsid w:val="009D7AEE"/>
    <w:rsid w:val="009E04C3"/>
    <w:rsid w:val="009F4DC4"/>
    <w:rsid w:val="00A421BA"/>
    <w:rsid w:val="00A56046"/>
    <w:rsid w:val="00A7203B"/>
    <w:rsid w:val="00A745FB"/>
    <w:rsid w:val="00A8102A"/>
    <w:rsid w:val="00A95BA1"/>
    <w:rsid w:val="00AA6D10"/>
    <w:rsid w:val="00AB0A47"/>
    <w:rsid w:val="00AC670D"/>
    <w:rsid w:val="00AD44DE"/>
    <w:rsid w:val="00AF2BDC"/>
    <w:rsid w:val="00B33A90"/>
    <w:rsid w:val="00B37A74"/>
    <w:rsid w:val="00B55AFE"/>
    <w:rsid w:val="00B56DDA"/>
    <w:rsid w:val="00B60179"/>
    <w:rsid w:val="00B65B72"/>
    <w:rsid w:val="00B72929"/>
    <w:rsid w:val="00B90303"/>
    <w:rsid w:val="00BA6559"/>
    <w:rsid w:val="00BD698E"/>
    <w:rsid w:val="00BF0447"/>
    <w:rsid w:val="00C26D11"/>
    <w:rsid w:val="00C34FF5"/>
    <w:rsid w:val="00C822F1"/>
    <w:rsid w:val="00CA73ED"/>
    <w:rsid w:val="00D01B7E"/>
    <w:rsid w:val="00D072EB"/>
    <w:rsid w:val="00D25B3E"/>
    <w:rsid w:val="00D60B79"/>
    <w:rsid w:val="00D62FF4"/>
    <w:rsid w:val="00D7054E"/>
    <w:rsid w:val="00D767B2"/>
    <w:rsid w:val="00D852BC"/>
    <w:rsid w:val="00DC06C1"/>
    <w:rsid w:val="00DE345F"/>
    <w:rsid w:val="00DF1FDD"/>
    <w:rsid w:val="00DF3FE8"/>
    <w:rsid w:val="00E00AE6"/>
    <w:rsid w:val="00E17C9D"/>
    <w:rsid w:val="00E20F4E"/>
    <w:rsid w:val="00E237A1"/>
    <w:rsid w:val="00E40556"/>
    <w:rsid w:val="00E914D2"/>
    <w:rsid w:val="00E94621"/>
    <w:rsid w:val="00EC7A69"/>
    <w:rsid w:val="00EE70C1"/>
    <w:rsid w:val="00EF3723"/>
    <w:rsid w:val="00F0232C"/>
    <w:rsid w:val="00F034D8"/>
    <w:rsid w:val="00F330E4"/>
    <w:rsid w:val="00F64E2E"/>
    <w:rsid w:val="00F76A4D"/>
    <w:rsid w:val="00F84FA9"/>
    <w:rsid w:val="00FB7E22"/>
    <w:rsid w:val="00FC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CACC"/>
  <w15:docId w15:val="{201E0CA7-A627-42D3-836A-8FCCB2C2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717FEE"/>
    <w:pPr>
      <w:widowControl w:val="0"/>
      <w:autoSpaceDE w:val="0"/>
      <w:autoSpaceDN w:val="0"/>
      <w:spacing w:after="0" w:line="240" w:lineRule="auto"/>
      <w:ind w:left="2237"/>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D1"/>
    <w:rPr>
      <w:rFonts w:ascii="Tahoma" w:hAnsi="Tahoma" w:cs="Tahoma"/>
      <w:sz w:val="16"/>
      <w:szCs w:val="16"/>
    </w:rPr>
  </w:style>
  <w:style w:type="paragraph" w:styleId="Title">
    <w:name w:val="Title"/>
    <w:basedOn w:val="Normal"/>
    <w:next w:val="Normal"/>
    <w:link w:val="TitleChar"/>
    <w:uiPriority w:val="10"/>
    <w:qFormat/>
    <w:rsid w:val="000B50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50D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B5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D1"/>
  </w:style>
  <w:style w:type="paragraph" w:styleId="Footer">
    <w:name w:val="footer"/>
    <w:basedOn w:val="Normal"/>
    <w:link w:val="FooterChar"/>
    <w:uiPriority w:val="99"/>
    <w:unhideWhenUsed/>
    <w:rsid w:val="000B5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D1"/>
  </w:style>
  <w:style w:type="paragraph" w:styleId="ListParagraph">
    <w:name w:val="List Paragraph"/>
    <w:basedOn w:val="Normal"/>
    <w:uiPriority w:val="1"/>
    <w:qFormat/>
    <w:rsid w:val="00A421BA"/>
    <w:pPr>
      <w:ind w:left="720"/>
      <w:contextualSpacing/>
    </w:pPr>
  </w:style>
  <w:style w:type="paragraph" w:customStyle="1" w:styleId="Default">
    <w:name w:val="Default"/>
    <w:rsid w:val="009C7945"/>
    <w:pPr>
      <w:autoSpaceDE w:val="0"/>
      <w:autoSpaceDN w:val="0"/>
      <w:adjustRightInd w:val="0"/>
      <w:spacing w:after="0" w:line="240" w:lineRule="auto"/>
    </w:pPr>
    <w:rPr>
      <w:rFonts w:ascii="Arial" w:hAnsi="Arial" w:cs="Arial"/>
      <w:color w:val="000000"/>
      <w:sz w:val="24"/>
      <w:szCs w:val="24"/>
    </w:rPr>
  </w:style>
  <w:style w:type="paragraph" w:customStyle="1" w:styleId="ICDBodyText">
    <w:name w:val="ICD Body Text"/>
    <w:basedOn w:val="Normal"/>
    <w:link w:val="ICDBodyTextChar"/>
    <w:qFormat/>
    <w:rsid w:val="00927071"/>
    <w:pPr>
      <w:spacing w:after="0" w:line="240" w:lineRule="auto"/>
    </w:pPr>
    <w:rPr>
      <w:rFonts w:ascii="Times New Roman" w:hAnsi="Times New Roman"/>
      <w:color w:val="000000"/>
      <w:sz w:val="24"/>
    </w:rPr>
  </w:style>
  <w:style w:type="character" w:customStyle="1" w:styleId="ICDBodyTextChar">
    <w:name w:val="ICD Body Text Char"/>
    <w:basedOn w:val="DefaultParagraphFont"/>
    <w:link w:val="ICDBodyText"/>
    <w:rsid w:val="00927071"/>
    <w:rPr>
      <w:rFonts w:ascii="Times New Roman" w:hAnsi="Times New Roman"/>
      <w:color w:val="000000"/>
      <w:sz w:val="24"/>
    </w:rPr>
  </w:style>
  <w:style w:type="paragraph" w:customStyle="1" w:styleId="ICDTitleforPatients">
    <w:name w:val="ICD Title for Patients"/>
    <w:basedOn w:val="Normal"/>
    <w:next w:val="ICDBodyText"/>
    <w:link w:val="ICDTitleforPatientsChar"/>
    <w:qFormat/>
    <w:rsid w:val="00737FD8"/>
    <w:pPr>
      <w:spacing w:after="0" w:line="240" w:lineRule="auto"/>
      <w:contextualSpacing/>
      <w:jc w:val="center"/>
      <w:outlineLvl w:val="0"/>
    </w:pPr>
    <w:rPr>
      <w:rFonts w:ascii="Times New Roman" w:eastAsiaTheme="majorEastAsia" w:hAnsi="Times New Roman" w:cstheme="majorBidi"/>
      <w:b/>
      <w:color w:val="000000"/>
      <w:spacing w:val="-10"/>
      <w:kern w:val="28"/>
      <w:sz w:val="28"/>
      <w:szCs w:val="56"/>
    </w:rPr>
  </w:style>
  <w:style w:type="character" w:styleId="Hyperlink">
    <w:name w:val="Hyperlink"/>
    <w:basedOn w:val="DefaultParagraphFont"/>
    <w:uiPriority w:val="99"/>
    <w:unhideWhenUsed/>
    <w:rsid w:val="00737FD8"/>
    <w:rPr>
      <w:color w:val="0000FF" w:themeColor="hyperlink"/>
      <w:u w:val="single"/>
    </w:rPr>
  </w:style>
  <w:style w:type="character" w:customStyle="1" w:styleId="ICDTitleforPatientsChar">
    <w:name w:val="ICD Title for Patients Char"/>
    <w:basedOn w:val="DefaultParagraphFont"/>
    <w:link w:val="ICDTitleforPatients"/>
    <w:rsid w:val="00737FD8"/>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uiPriority w:val="9"/>
    <w:rsid w:val="00717FEE"/>
    <w:rPr>
      <w:rFonts w:ascii="Times New Roman" w:eastAsia="Times New Roman" w:hAnsi="Times New Roman" w:cs="Times New Roman"/>
      <w:b/>
      <w:bCs/>
    </w:rPr>
  </w:style>
  <w:style w:type="paragraph" w:styleId="BodyText">
    <w:name w:val="Body Text"/>
    <w:basedOn w:val="Normal"/>
    <w:link w:val="BodyTextChar"/>
    <w:uiPriority w:val="1"/>
    <w:qFormat/>
    <w:rsid w:val="00717FEE"/>
    <w:pPr>
      <w:widowControl w:val="0"/>
      <w:autoSpaceDE w:val="0"/>
      <w:autoSpaceDN w:val="0"/>
      <w:spacing w:after="0" w:line="240" w:lineRule="auto"/>
      <w:ind w:left="2703"/>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17FEE"/>
    <w:rPr>
      <w:rFonts w:ascii="Times New Roman" w:eastAsia="Times New Roman" w:hAnsi="Times New Roman" w:cs="Times New Roman"/>
    </w:rPr>
  </w:style>
  <w:style w:type="paragraph" w:customStyle="1" w:styleId="TableParagraph">
    <w:name w:val="Table Paragraph"/>
    <w:basedOn w:val="Normal"/>
    <w:uiPriority w:val="1"/>
    <w:qFormat/>
    <w:rsid w:val="00717FEE"/>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D73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DFD247FE28E48B63989309D0FA42D" ma:contentTypeVersion="13" ma:contentTypeDescription="Create a new document." ma:contentTypeScope="" ma:versionID="63e80852357275430194a062b61b645f">
  <xsd:schema xmlns:xsd="http://www.w3.org/2001/XMLSchema" xmlns:xs="http://www.w3.org/2001/XMLSchema" xmlns:p="http://schemas.microsoft.com/office/2006/metadata/properties" xmlns:ns3="a712be80-2ea5-418c-abd8-e7fbf1b4e532" xmlns:ns4="ee9d132f-5002-471a-9620-959d34f883ba" targetNamespace="http://schemas.microsoft.com/office/2006/metadata/properties" ma:root="true" ma:fieldsID="672b444a192fbf03c97e7a6b51895214" ns3:_="" ns4:_="">
    <xsd:import namespace="a712be80-2ea5-418c-abd8-e7fbf1b4e532"/>
    <xsd:import namespace="ee9d132f-5002-471a-9620-959d34f883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2be80-2ea5-418c-abd8-e7fbf1b4e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d132f-5002-471a-9620-959d34f883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571E-5866-49D6-871A-7DFFE4094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16F73-BFA7-4C91-AD50-FE5D2B105779}">
  <ds:schemaRefs>
    <ds:schemaRef ds:uri="http://schemas.microsoft.com/sharepoint/v3/contenttype/forms"/>
  </ds:schemaRefs>
</ds:datastoreItem>
</file>

<file path=customXml/itemProps3.xml><?xml version="1.0" encoding="utf-8"?>
<ds:datastoreItem xmlns:ds="http://schemas.openxmlformats.org/officeDocument/2006/customXml" ds:itemID="{8129F7A8-F54F-4E1B-B6BC-D44AA04E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2be80-2ea5-418c-abd8-e7fbf1b4e532"/>
    <ds:schemaRef ds:uri="ee9d132f-5002-471a-9620-959d34f8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231F4-C79E-4A90-868D-38FF0E40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Hatti A.</dc:creator>
  <cp:lastModifiedBy>Haworth, Jan</cp:lastModifiedBy>
  <cp:revision>11</cp:revision>
  <dcterms:created xsi:type="dcterms:W3CDTF">2026-02-19T20:03:00Z</dcterms:created>
  <dcterms:modified xsi:type="dcterms:W3CDTF">2026-04-29T19:46:00Z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0x010100332DFD247FE28E48B63989309D0FA42D</vt:lpwstr>
  </property>
</Properties>
</file>